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521053" w14:textId="77777777" w:rsidR="00E66942" w:rsidRDefault="00117EE7">
      <w:pPr>
        <w:spacing w:line="360" w:lineRule="auto"/>
        <w:jc w:val="center"/>
        <w:rPr>
          <w:rFonts w:ascii="Arial" w:eastAsia="Arial" w:hAnsi="Arial" w:cs="Arial"/>
          <w:b/>
          <w:bCs/>
          <w:color w:val="000000"/>
          <w:u w:color="000000"/>
        </w:rPr>
      </w:pPr>
      <w:r>
        <w:rPr>
          <w:rFonts w:ascii="Arial" w:hAnsi="Arial" w:cs="Arial Unicode MS"/>
          <w:b/>
          <w:bCs/>
          <w:color w:val="000000"/>
          <w:u w:color="000000"/>
        </w:rPr>
        <w:t xml:space="preserve">IRISH FOOTBALL ASSOCIATION </w:t>
      </w:r>
    </w:p>
    <w:p w14:paraId="674900E3" w14:textId="77777777" w:rsidR="00E66942" w:rsidRDefault="00117EE7">
      <w:pPr>
        <w:spacing w:line="360" w:lineRule="auto"/>
        <w:jc w:val="center"/>
        <w:rPr>
          <w:rFonts w:ascii="Arial" w:eastAsia="Arial" w:hAnsi="Arial" w:cs="Arial"/>
          <w:b/>
          <w:bCs/>
          <w:color w:val="000000"/>
          <w:u w:color="000000"/>
        </w:rPr>
      </w:pPr>
      <w:r>
        <w:rPr>
          <w:rFonts w:ascii="Arial" w:hAnsi="Arial" w:cs="Arial Unicode MS"/>
          <w:b/>
          <w:bCs/>
          <w:color w:val="000000"/>
          <w:u w:color="000000"/>
        </w:rPr>
        <w:t>APPEALS COMMITTEE</w:t>
      </w:r>
    </w:p>
    <w:p w14:paraId="76B40245" w14:textId="77777777" w:rsidR="00E66942" w:rsidRDefault="00E66942">
      <w:pPr>
        <w:spacing w:line="360" w:lineRule="auto"/>
        <w:jc w:val="center"/>
        <w:rPr>
          <w:rFonts w:ascii="Arial" w:eastAsia="Arial" w:hAnsi="Arial" w:cs="Arial"/>
          <w:b/>
          <w:bCs/>
          <w:color w:val="000000"/>
          <w:u w:color="000000"/>
        </w:rPr>
      </w:pPr>
    </w:p>
    <w:p w14:paraId="72C7F851" w14:textId="77777777" w:rsidR="00E66942" w:rsidRDefault="00117EE7">
      <w:pPr>
        <w:spacing w:line="360" w:lineRule="auto"/>
        <w:rPr>
          <w:rFonts w:ascii="Arial" w:eastAsia="Arial" w:hAnsi="Arial" w:cs="Arial"/>
          <w:b/>
          <w:bCs/>
          <w:i/>
          <w:iCs/>
          <w:color w:val="000000"/>
          <w:u w:color="000000"/>
        </w:rPr>
      </w:pPr>
      <w:r>
        <w:rPr>
          <w:rFonts w:ascii="Arial" w:hAnsi="Arial" w:cs="Arial Unicode MS"/>
          <w:b/>
          <w:bCs/>
          <w:i/>
          <w:iCs/>
          <w:color w:val="000000"/>
          <w:u w:color="000000"/>
        </w:rPr>
        <w:t xml:space="preserve">In the matter of an appeal by Glentoran Youth FC against a decision of the NIBFA Competitions </w:t>
      </w:r>
      <w:proofErr w:type="spellStart"/>
      <w:r>
        <w:rPr>
          <w:rFonts w:ascii="Arial" w:hAnsi="Arial" w:cs="Arial Unicode MS"/>
          <w:b/>
          <w:bCs/>
          <w:i/>
          <w:iCs/>
          <w:color w:val="000000"/>
          <w:u w:color="000000"/>
        </w:rPr>
        <w:t>Organising</w:t>
      </w:r>
      <w:proofErr w:type="spellEnd"/>
      <w:r>
        <w:rPr>
          <w:rFonts w:ascii="Arial" w:hAnsi="Arial" w:cs="Arial Unicode MS"/>
          <w:b/>
          <w:bCs/>
          <w:i/>
          <w:iCs/>
          <w:color w:val="000000"/>
          <w:u w:color="000000"/>
        </w:rPr>
        <w:t xml:space="preserve"> Committee</w:t>
      </w:r>
    </w:p>
    <w:p w14:paraId="7C8E20F3" w14:textId="77777777" w:rsidR="00E66942" w:rsidRDefault="00E66942">
      <w:pPr>
        <w:spacing w:line="360" w:lineRule="auto"/>
        <w:rPr>
          <w:rFonts w:ascii="Arial" w:eastAsia="Arial" w:hAnsi="Arial" w:cs="Arial"/>
          <w:b/>
          <w:bCs/>
          <w:i/>
          <w:iCs/>
          <w:color w:val="000000"/>
          <w:u w:color="000000"/>
        </w:rPr>
      </w:pPr>
    </w:p>
    <w:p w14:paraId="73930F46" w14:textId="77777777" w:rsidR="00E66942" w:rsidRDefault="00E66942">
      <w:pPr>
        <w:spacing w:line="360" w:lineRule="auto"/>
        <w:rPr>
          <w:rFonts w:ascii="Arial" w:eastAsia="Arial" w:hAnsi="Arial" w:cs="Arial"/>
          <w:b/>
          <w:bCs/>
          <w:i/>
          <w:iCs/>
          <w:color w:val="000000"/>
          <w:u w:color="000000"/>
        </w:rPr>
      </w:pPr>
    </w:p>
    <w:p w14:paraId="6BBDDA27" w14:textId="77777777" w:rsidR="00E66942" w:rsidRDefault="00117EE7">
      <w:pPr>
        <w:spacing w:line="360" w:lineRule="auto"/>
        <w:rPr>
          <w:rFonts w:ascii="Helvetica Neue" w:eastAsia="Helvetica Neue" w:hAnsi="Helvetica Neue" w:cs="Helvetica Neue"/>
          <w:b/>
          <w:bCs/>
          <w:color w:val="000000"/>
          <w:u w:color="000000"/>
        </w:rPr>
      </w:pPr>
      <w:r>
        <w:rPr>
          <w:rFonts w:ascii="Helvetica Neue" w:hAnsi="Helvetica Neue" w:cs="Arial Unicode MS"/>
          <w:b/>
          <w:bCs/>
          <w:color w:val="000000"/>
          <w:u w:color="000000"/>
        </w:rPr>
        <w:t>Appeals Committee:</w:t>
      </w:r>
    </w:p>
    <w:p w14:paraId="6D66EF65" w14:textId="77777777" w:rsidR="00E66942" w:rsidRDefault="00117EE7">
      <w:pPr>
        <w:spacing w:line="360" w:lineRule="auto"/>
        <w:rPr>
          <w:rFonts w:ascii="Helvetica Neue" w:eastAsia="Helvetica Neue" w:hAnsi="Helvetica Neue" w:cs="Helvetica Neue"/>
          <w:color w:val="000000"/>
          <w:u w:color="000000"/>
        </w:rPr>
      </w:pPr>
      <w:r>
        <w:rPr>
          <w:rFonts w:ascii="Helvetica Neue" w:hAnsi="Helvetica Neue" w:cs="Arial Unicode MS"/>
          <w:color w:val="000000"/>
          <w:u w:color="000000"/>
        </w:rPr>
        <w:t>Martin Wolfe KC (Chair)</w:t>
      </w:r>
    </w:p>
    <w:p w14:paraId="20FADED1" w14:textId="77777777" w:rsidR="00E66942" w:rsidRDefault="00117EE7">
      <w:pPr>
        <w:spacing w:line="360" w:lineRule="auto"/>
        <w:rPr>
          <w:rFonts w:ascii="Helvetica Neue" w:eastAsia="Helvetica Neue" w:hAnsi="Helvetica Neue" w:cs="Helvetica Neue"/>
          <w:color w:val="000000"/>
          <w:u w:color="000000"/>
        </w:rPr>
      </w:pPr>
      <w:r>
        <w:rPr>
          <w:rFonts w:ascii="Helvetica Neue" w:hAnsi="Helvetica Neue" w:cs="Arial Unicode MS"/>
          <w:color w:val="000000"/>
          <w:u w:color="000000"/>
        </w:rPr>
        <w:t>David Lennox</w:t>
      </w:r>
    </w:p>
    <w:p w14:paraId="5342CBC5" w14:textId="77777777" w:rsidR="00E66942" w:rsidRDefault="00117EE7">
      <w:pPr>
        <w:spacing w:line="360" w:lineRule="auto"/>
        <w:rPr>
          <w:rFonts w:ascii="Helvetica Neue" w:eastAsia="Helvetica Neue" w:hAnsi="Helvetica Neue" w:cs="Helvetica Neue"/>
          <w:color w:val="000000"/>
          <w:u w:color="000000"/>
        </w:rPr>
      </w:pPr>
      <w:r>
        <w:rPr>
          <w:rFonts w:ascii="Helvetica Neue" w:hAnsi="Helvetica Neue" w:cs="Arial Unicode MS"/>
          <w:color w:val="000000"/>
          <w:u w:color="000000"/>
        </w:rPr>
        <w:t>Stephen Magill</w:t>
      </w:r>
    </w:p>
    <w:p w14:paraId="44902839" w14:textId="77777777" w:rsidR="00E66942" w:rsidRDefault="00E66942">
      <w:pPr>
        <w:spacing w:line="360" w:lineRule="auto"/>
        <w:rPr>
          <w:rFonts w:ascii="Helvetica Neue" w:eastAsia="Helvetica Neue" w:hAnsi="Helvetica Neue" w:cs="Helvetica Neue"/>
          <w:color w:val="000000"/>
          <w:u w:color="000000"/>
        </w:rPr>
      </w:pPr>
    </w:p>
    <w:p w14:paraId="6963DC82" w14:textId="77777777" w:rsidR="00E66942" w:rsidRDefault="00117EE7">
      <w:pPr>
        <w:spacing w:line="360" w:lineRule="auto"/>
        <w:jc w:val="center"/>
        <w:rPr>
          <w:rFonts w:ascii="Helvetica" w:eastAsia="Helvetica" w:hAnsi="Helvetica" w:cs="Helvetica"/>
          <w:b/>
          <w:bCs/>
          <w:color w:val="000000"/>
          <w:u w:color="000000"/>
        </w:rPr>
      </w:pPr>
      <w:r>
        <w:rPr>
          <w:rFonts w:ascii="Helvetica" w:hAnsi="Helvetica" w:cs="Arial Unicode MS"/>
          <w:b/>
          <w:bCs/>
          <w:color w:val="000000"/>
          <w:u w:color="000000"/>
        </w:rPr>
        <w:t>DECISION</w:t>
      </w:r>
    </w:p>
    <w:p w14:paraId="370F6435" w14:textId="77777777" w:rsidR="00E66942" w:rsidRDefault="00117EE7">
      <w:pPr>
        <w:spacing w:line="360" w:lineRule="auto"/>
        <w:rPr>
          <w:rFonts w:ascii="Helvetica" w:eastAsia="Helvetica" w:hAnsi="Helvetica" w:cs="Helvetica"/>
          <w:color w:val="000000"/>
          <w:u w:color="000000"/>
        </w:rPr>
      </w:pPr>
      <w:r>
        <w:rPr>
          <w:rFonts w:ascii="Helvetica" w:hAnsi="Helvetica" w:cs="Arial Unicode MS"/>
          <w:color w:val="000000"/>
          <w:u w:color="000000"/>
        </w:rPr>
        <w:t>This is a</w:t>
      </w:r>
      <w:r>
        <w:rPr>
          <w:rFonts w:ascii="Helvetica" w:hAnsi="Helvetica" w:cs="Arial Unicode MS"/>
          <w:color w:val="000000"/>
          <w:u w:color="000000"/>
        </w:rPr>
        <w:t xml:space="preserve"> decision of the IFA Appeals Committee (</w:t>
      </w:r>
      <w:r>
        <w:rPr>
          <w:rFonts w:ascii="Helvetica" w:hAnsi="Helvetica" w:cs="Arial Unicode MS"/>
          <w:color w:val="000000"/>
          <w:u w:color="000000"/>
        </w:rPr>
        <w:t>‘</w:t>
      </w:r>
      <w:r>
        <w:rPr>
          <w:rFonts w:ascii="Helvetica" w:hAnsi="Helvetica" w:cs="Arial Unicode MS"/>
          <w:color w:val="000000"/>
          <w:u w:color="000000"/>
        </w:rPr>
        <w:t>the Committee</w:t>
      </w:r>
      <w:r>
        <w:rPr>
          <w:rFonts w:ascii="Helvetica" w:hAnsi="Helvetica" w:cs="Arial Unicode MS"/>
          <w:color w:val="000000"/>
          <w:u w:color="000000"/>
        </w:rPr>
        <w:t>’</w:t>
      </w:r>
      <w:r>
        <w:rPr>
          <w:rFonts w:ascii="Helvetica" w:hAnsi="Helvetica" w:cs="Arial Unicode MS"/>
          <w:color w:val="000000"/>
          <w:u w:color="000000"/>
        </w:rPr>
        <w:t>) which was reached following a hearing which took place at IFA Headquarters on 4 April 2023. It concerns an appeal brought by Glentoran Youth FC (</w:t>
      </w:r>
      <w:r>
        <w:rPr>
          <w:rFonts w:ascii="Helvetica" w:hAnsi="Helvetica" w:cs="Arial Unicode MS"/>
          <w:color w:val="000000"/>
          <w:u w:color="000000"/>
        </w:rPr>
        <w:t>‘</w:t>
      </w:r>
      <w:r>
        <w:rPr>
          <w:rFonts w:ascii="Helvetica" w:hAnsi="Helvetica" w:cs="Arial Unicode MS"/>
          <w:color w:val="000000"/>
          <w:u w:color="000000"/>
        </w:rPr>
        <w:t>the Appellant</w:t>
      </w:r>
      <w:r>
        <w:rPr>
          <w:rFonts w:ascii="Helvetica" w:hAnsi="Helvetica" w:cs="Arial Unicode MS"/>
          <w:color w:val="000000"/>
          <w:u w:color="000000"/>
        </w:rPr>
        <w:t>’</w:t>
      </w:r>
      <w:r>
        <w:rPr>
          <w:rFonts w:ascii="Helvetica" w:hAnsi="Helvetica" w:cs="Arial Unicode MS"/>
          <w:color w:val="000000"/>
          <w:u w:color="000000"/>
        </w:rPr>
        <w:t xml:space="preserve">) against a decision reached by the NIBFA </w:t>
      </w:r>
      <w:proofErr w:type="spellStart"/>
      <w:r>
        <w:rPr>
          <w:rFonts w:ascii="Helvetica" w:hAnsi="Helvetica" w:cs="Arial Unicode MS"/>
          <w:color w:val="000000"/>
          <w:u w:color="000000"/>
        </w:rPr>
        <w:t>Organising</w:t>
      </w:r>
      <w:proofErr w:type="spellEnd"/>
      <w:r>
        <w:rPr>
          <w:rFonts w:ascii="Helvetica" w:hAnsi="Helvetica" w:cs="Arial Unicode MS"/>
          <w:color w:val="000000"/>
          <w:u w:color="000000"/>
        </w:rPr>
        <w:t xml:space="preserve"> Committee (</w:t>
      </w:r>
      <w:r>
        <w:rPr>
          <w:rFonts w:ascii="Helvetica" w:hAnsi="Helvetica" w:cs="Arial Unicode MS"/>
          <w:color w:val="000000"/>
          <w:u w:color="000000"/>
        </w:rPr>
        <w:t>‘</w:t>
      </w:r>
      <w:r>
        <w:rPr>
          <w:rFonts w:ascii="Helvetica" w:hAnsi="Helvetica" w:cs="Arial Unicode MS"/>
          <w:color w:val="000000"/>
          <w:u w:color="000000"/>
        </w:rPr>
        <w:t>the Respondent</w:t>
      </w:r>
      <w:r>
        <w:rPr>
          <w:rFonts w:ascii="Helvetica" w:hAnsi="Helvetica" w:cs="Arial Unicode MS"/>
          <w:color w:val="000000"/>
          <w:u w:color="000000"/>
        </w:rPr>
        <w:t>’</w:t>
      </w:r>
      <w:r>
        <w:rPr>
          <w:rFonts w:ascii="Helvetica" w:hAnsi="Helvetica" w:cs="Arial Unicode MS"/>
          <w:color w:val="000000"/>
          <w:u w:color="000000"/>
        </w:rPr>
        <w:t>) on the 21 March 2023</w:t>
      </w:r>
      <w:r>
        <w:rPr>
          <w:rFonts w:ascii="Helvetica" w:hAnsi="Helvetica" w:cs="Arial Unicode MS"/>
          <w:b/>
          <w:bCs/>
          <w:color w:val="000000"/>
          <w:u w:color="000000"/>
        </w:rPr>
        <w:t xml:space="preserve">. </w:t>
      </w:r>
      <w:r>
        <w:rPr>
          <w:rFonts w:ascii="Helvetica" w:hAnsi="Helvetica" w:cs="Arial Unicode MS"/>
          <w:color w:val="000000"/>
          <w:u w:color="000000"/>
        </w:rPr>
        <w:t xml:space="preserve">Having regard to the reasons set out below, the unanimous decision of the Committee is that the appeal shall be </w:t>
      </w:r>
      <w:r>
        <w:rPr>
          <w:rFonts w:ascii="Helvetica" w:hAnsi="Helvetica" w:cs="Arial Unicode MS"/>
          <w:b/>
          <w:bCs/>
          <w:color w:val="000000"/>
          <w:u w:val="single" w:color="000000"/>
        </w:rPr>
        <w:t>dismissed</w:t>
      </w:r>
      <w:r>
        <w:rPr>
          <w:rFonts w:ascii="Helvetica" w:hAnsi="Helvetica" w:cs="Arial Unicode MS"/>
          <w:color w:val="000000"/>
          <w:u w:color="000000"/>
        </w:rPr>
        <w:t xml:space="preserve"> so that the decision of the Re</w:t>
      </w:r>
      <w:r>
        <w:rPr>
          <w:rFonts w:ascii="Helvetica" w:hAnsi="Helvetica" w:cs="Arial Unicode MS"/>
          <w:color w:val="000000"/>
          <w:u w:color="000000"/>
        </w:rPr>
        <w:t>spondent is upheld and the sanction imposed by the Respondent remains valid and shall be implemented.</w:t>
      </w:r>
    </w:p>
    <w:p w14:paraId="64841E31" w14:textId="77777777" w:rsidR="00E66942" w:rsidRDefault="00E66942">
      <w:pPr>
        <w:spacing w:line="360" w:lineRule="auto"/>
        <w:rPr>
          <w:rFonts w:ascii="Helvetica" w:eastAsia="Helvetica" w:hAnsi="Helvetica" w:cs="Helvetica"/>
          <w:b/>
          <w:bCs/>
          <w:color w:val="000000"/>
          <w:u w:color="000000"/>
        </w:rPr>
      </w:pPr>
    </w:p>
    <w:p w14:paraId="3B872EF1" w14:textId="77777777" w:rsidR="00E66942" w:rsidRDefault="00117EE7">
      <w:pPr>
        <w:spacing w:line="360" w:lineRule="auto"/>
        <w:rPr>
          <w:rFonts w:ascii="Helvetica" w:eastAsia="Helvetica" w:hAnsi="Helvetica" w:cs="Helvetica"/>
          <w:b/>
          <w:bCs/>
          <w:color w:val="000000"/>
          <w:u w:color="000000"/>
        </w:rPr>
      </w:pPr>
      <w:r>
        <w:rPr>
          <w:rFonts w:ascii="Helvetica" w:hAnsi="Helvetica" w:cs="Arial Unicode MS"/>
          <w:b/>
          <w:bCs/>
          <w:color w:val="000000"/>
          <w:u w:color="000000"/>
        </w:rPr>
        <w:t>Attendees</w:t>
      </w:r>
    </w:p>
    <w:p w14:paraId="4C20B807" w14:textId="77777777" w:rsidR="00E66942" w:rsidRDefault="00117EE7">
      <w:pPr>
        <w:numPr>
          <w:ilvl w:val="0"/>
          <w:numId w:val="2"/>
        </w:numPr>
        <w:spacing w:line="360" w:lineRule="auto"/>
        <w:rPr>
          <w:rFonts w:ascii="Helvetica" w:hAnsi="Helvetica" w:cs="Arial Unicode MS"/>
          <w:color w:val="000000"/>
          <w:u w:color="000000"/>
        </w:rPr>
      </w:pPr>
      <w:r>
        <w:rPr>
          <w:rFonts w:ascii="Helvetica" w:hAnsi="Helvetica" w:cs="Arial Unicode MS"/>
          <w:color w:val="000000"/>
          <w:u w:color="000000"/>
        </w:rPr>
        <w:t>The Appellant was represented at the hearing by Mr. David Hay</w:t>
      </w:r>
      <w:r>
        <w:rPr>
          <w:rFonts w:ascii="Helvetica" w:hAnsi="Helvetica" w:cs="Arial Unicode MS"/>
          <w:color w:val="000000"/>
          <w:u w:color="000000"/>
        </w:rPr>
        <w:t xml:space="preserve">es and </w:t>
      </w:r>
      <w:proofErr w:type="spellStart"/>
      <w:r>
        <w:rPr>
          <w:rFonts w:ascii="Helvetica" w:hAnsi="Helvetica" w:cs="Arial Unicode MS"/>
          <w:color w:val="000000"/>
          <w:u w:color="000000"/>
        </w:rPr>
        <w:t>Mr</w:t>
      </w:r>
      <w:proofErr w:type="spellEnd"/>
      <w:r>
        <w:rPr>
          <w:rFonts w:ascii="Helvetica" w:hAnsi="Helvetica" w:cs="Arial Unicode MS"/>
          <w:color w:val="000000"/>
          <w:u w:color="000000"/>
        </w:rPr>
        <w:t xml:space="preserve"> Simon Kelly.</w:t>
      </w:r>
    </w:p>
    <w:p w14:paraId="1E40D4A3" w14:textId="77777777" w:rsidR="00E66942" w:rsidRDefault="00E66942">
      <w:pPr>
        <w:spacing w:line="360" w:lineRule="auto"/>
        <w:rPr>
          <w:rFonts w:ascii="Helvetica" w:eastAsia="Helvetica" w:hAnsi="Helvetica" w:cs="Helvetica"/>
          <w:color w:val="000000"/>
          <w:u w:color="000000"/>
          <w:lang w:val="it-IT"/>
        </w:rPr>
      </w:pPr>
    </w:p>
    <w:p w14:paraId="382A40DD" w14:textId="77777777" w:rsidR="00E66942" w:rsidRDefault="00117EE7">
      <w:pPr>
        <w:numPr>
          <w:ilvl w:val="0"/>
          <w:numId w:val="2"/>
        </w:numPr>
        <w:spacing w:line="360" w:lineRule="auto"/>
        <w:rPr>
          <w:rFonts w:ascii="Helvetica" w:hAnsi="Helvetica" w:cs="Arial Unicode MS"/>
          <w:color w:val="000000"/>
          <w:u w:color="000000"/>
        </w:rPr>
      </w:pPr>
      <w:r>
        <w:rPr>
          <w:rFonts w:ascii="Helvetica" w:hAnsi="Helvetica" w:cs="Arial Unicode MS"/>
          <w:color w:val="000000"/>
          <w:u w:color="000000"/>
        </w:rPr>
        <w:t xml:space="preserve">The Respondent was represented at the hearing by Mr. Peter McKenna and </w:t>
      </w:r>
      <w:proofErr w:type="spellStart"/>
      <w:r>
        <w:rPr>
          <w:rFonts w:ascii="Helvetica" w:hAnsi="Helvetica" w:cs="Arial Unicode MS"/>
          <w:color w:val="000000"/>
          <w:u w:color="000000"/>
        </w:rPr>
        <w:t>Mr</w:t>
      </w:r>
      <w:proofErr w:type="spellEnd"/>
      <w:r>
        <w:rPr>
          <w:rFonts w:ascii="Helvetica" w:hAnsi="Helvetica" w:cs="Arial Unicode MS"/>
          <w:color w:val="000000"/>
          <w:u w:color="000000"/>
        </w:rPr>
        <w:t xml:space="preserve"> William Ewart. Mr. Ewart was </w:t>
      </w:r>
      <w:proofErr w:type="gramStart"/>
      <w:r>
        <w:rPr>
          <w:rFonts w:ascii="Helvetica" w:hAnsi="Helvetica" w:cs="Arial Unicode MS"/>
          <w:color w:val="000000"/>
          <w:u w:color="000000"/>
        </w:rPr>
        <w:t>substituting</w:t>
      </w:r>
      <w:proofErr w:type="gramEnd"/>
      <w:r>
        <w:rPr>
          <w:rFonts w:ascii="Helvetica" w:hAnsi="Helvetica" w:cs="Arial Unicode MS"/>
          <w:color w:val="000000"/>
          <w:u w:color="000000"/>
        </w:rPr>
        <w:t xml:space="preserve"> for the absence of Mr. Gerry McKee who had signed off on the decision which is the subject of appeal.</w:t>
      </w:r>
    </w:p>
    <w:p w14:paraId="48073B59" w14:textId="77777777" w:rsidR="00E66942" w:rsidRDefault="00E66942">
      <w:pPr>
        <w:spacing w:line="360" w:lineRule="auto"/>
        <w:rPr>
          <w:rFonts w:ascii="Helvetica" w:eastAsia="Helvetica" w:hAnsi="Helvetica" w:cs="Helvetica"/>
          <w:color w:val="000000"/>
          <w:u w:color="000000"/>
        </w:rPr>
      </w:pPr>
    </w:p>
    <w:p w14:paraId="587C8FBC" w14:textId="77777777" w:rsidR="00E66942" w:rsidRDefault="00117EE7">
      <w:pPr>
        <w:numPr>
          <w:ilvl w:val="0"/>
          <w:numId w:val="2"/>
        </w:numPr>
        <w:spacing w:line="360" w:lineRule="auto"/>
        <w:rPr>
          <w:rFonts w:ascii="Helvetica" w:hAnsi="Helvetica" w:cs="Arial Unicode MS"/>
          <w:color w:val="000000"/>
          <w:u w:color="000000"/>
        </w:rPr>
      </w:pPr>
      <w:r>
        <w:rPr>
          <w:rFonts w:ascii="Helvetica" w:hAnsi="Helvetica" w:cs="Arial Unicode MS"/>
          <w:color w:val="000000"/>
          <w:u w:color="000000"/>
        </w:rPr>
        <w:t>The Committee wishes to express its g</w:t>
      </w:r>
      <w:r>
        <w:rPr>
          <w:rFonts w:ascii="Helvetica" w:hAnsi="Helvetica" w:cs="Arial Unicode MS"/>
          <w:color w:val="000000"/>
          <w:u w:color="000000"/>
        </w:rPr>
        <w:t>ratitude to the parties for their attendance at the hearing and for their helpful written and oral submissions.</w:t>
      </w:r>
    </w:p>
    <w:p w14:paraId="3DA3074C" w14:textId="77777777" w:rsidR="00E66942" w:rsidRDefault="00E66942">
      <w:pPr>
        <w:spacing w:line="360" w:lineRule="auto"/>
        <w:rPr>
          <w:rFonts w:ascii="Helvetica" w:eastAsia="Helvetica" w:hAnsi="Helvetica" w:cs="Helvetica"/>
          <w:color w:val="000000"/>
          <w:u w:color="000000"/>
        </w:rPr>
      </w:pPr>
    </w:p>
    <w:p w14:paraId="325BCCF2" w14:textId="77777777" w:rsidR="00E66942" w:rsidRDefault="00117EE7">
      <w:pPr>
        <w:spacing w:line="360" w:lineRule="auto"/>
        <w:rPr>
          <w:rFonts w:ascii="Helvetica" w:eastAsia="Helvetica" w:hAnsi="Helvetica" w:cs="Helvetica"/>
          <w:b/>
          <w:bCs/>
          <w:color w:val="000000"/>
          <w:u w:color="000000"/>
        </w:rPr>
      </w:pPr>
      <w:r>
        <w:rPr>
          <w:rFonts w:ascii="Helvetica" w:hAnsi="Helvetica" w:cs="Arial Unicode MS"/>
          <w:b/>
          <w:bCs/>
          <w:color w:val="000000"/>
          <w:u w:color="000000"/>
        </w:rPr>
        <w:t>Facts</w:t>
      </w:r>
    </w:p>
    <w:p w14:paraId="06D22DB2"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The relevant facts were not the subject of any significant dispute. By agreement with the parties the Committee has determined that it wo</w:t>
      </w:r>
      <w:r>
        <w:rPr>
          <w:rFonts w:ascii="Helvetica" w:hAnsi="Helvetica" w:cs="Arial Unicode MS"/>
          <w:color w:val="000000"/>
          <w:u w:color="000000"/>
        </w:rPr>
        <w:t xml:space="preserve">uld be inappropriate to name the player whose selection and eligibility are the subject of this decision. He is a Minor and we shall refer to him as </w:t>
      </w:r>
      <w:r>
        <w:rPr>
          <w:rFonts w:ascii="Helvetica" w:hAnsi="Helvetica" w:cs="Arial Unicode MS"/>
          <w:color w:val="000000"/>
          <w:u w:color="000000"/>
        </w:rPr>
        <w:t>‘</w:t>
      </w:r>
      <w:r>
        <w:rPr>
          <w:rFonts w:ascii="Helvetica" w:hAnsi="Helvetica" w:cs="Arial Unicode MS"/>
          <w:color w:val="000000"/>
          <w:u w:color="000000"/>
        </w:rPr>
        <w:t>Player 1</w:t>
      </w:r>
      <w:r>
        <w:rPr>
          <w:rFonts w:ascii="Helvetica" w:hAnsi="Helvetica" w:cs="Arial Unicode MS"/>
          <w:color w:val="000000"/>
          <w:u w:color="000000"/>
        </w:rPr>
        <w:t>’</w:t>
      </w:r>
      <w:r>
        <w:rPr>
          <w:rFonts w:ascii="Helvetica" w:hAnsi="Helvetica" w:cs="Arial Unicode MS"/>
          <w:color w:val="000000"/>
          <w:u w:color="000000"/>
        </w:rPr>
        <w:t xml:space="preserve">. The Committee wishes to </w:t>
      </w:r>
      <w:proofErr w:type="spellStart"/>
      <w:r>
        <w:rPr>
          <w:rFonts w:ascii="Helvetica" w:hAnsi="Helvetica" w:cs="Arial Unicode MS"/>
          <w:color w:val="000000"/>
          <w:u w:color="000000"/>
        </w:rPr>
        <w:t>emphasise</w:t>
      </w:r>
      <w:proofErr w:type="spellEnd"/>
      <w:r>
        <w:rPr>
          <w:rFonts w:ascii="Helvetica" w:hAnsi="Helvetica" w:cs="Arial Unicode MS"/>
          <w:color w:val="000000"/>
          <w:u w:color="000000"/>
        </w:rPr>
        <w:t xml:space="preserve"> that Player 1 </w:t>
      </w:r>
      <w:proofErr w:type="gramStart"/>
      <w:r>
        <w:rPr>
          <w:rFonts w:ascii="Helvetica" w:hAnsi="Helvetica" w:cs="Arial Unicode MS"/>
          <w:color w:val="000000"/>
          <w:u w:color="000000"/>
        </w:rPr>
        <w:t>behaved appropriately at all times</w:t>
      </w:r>
      <w:proofErr w:type="gramEnd"/>
      <w:r>
        <w:rPr>
          <w:rFonts w:ascii="Helvetica" w:hAnsi="Helvetica" w:cs="Arial Unicode MS"/>
          <w:color w:val="000000"/>
          <w:u w:color="000000"/>
        </w:rPr>
        <w:t xml:space="preserve">, and it </w:t>
      </w:r>
      <w:r>
        <w:rPr>
          <w:rFonts w:ascii="Helvetica" w:hAnsi="Helvetica" w:cs="Arial Unicode MS"/>
          <w:color w:val="000000"/>
          <w:u w:color="000000"/>
        </w:rPr>
        <w:t>should be obvious that no criticism of him or his parents is warranted.</w:t>
      </w:r>
    </w:p>
    <w:p w14:paraId="482FA79B" w14:textId="77777777" w:rsidR="00E66942" w:rsidRDefault="00E66942">
      <w:pPr>
        <w:spacing w:line="360" w:lineRule="auto"/>
        <w:rPr>
          <w:rFonts w:ascii="Helvetica" w:eastAsia="Helvetica" w:hAnsi="Helvetica" w:cs="Helvetica"/>
          <w:color w:val="000000"/>
          <w:u w:color="000000"/>
        </w:rPr>
      </w:pPr>
    </w:p>
    <w:p w14:paraId="673DCA03"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 xml:space="preserve">On the 8 October 15 October, and 29 October 2022, and 18 February 2023, Player 1 played for the Glentoran Under 12 side in the Subway NIBFA Under 12 Cup competition. This competition </w:t>
      </w:r>
      <w:r>
        <w:rPr>
          <w:rFonts w:ascii="Helvetica" w:hAnsi="Helvetica" w:cs="Arial Unicode MS"/>
          <w:color w:val="000000"/>
          <w:u w:color="000000"/>
        </w:rPr>
        <w:t>has a 9-a-side format.</w:t>
      </w:r>
    </w:p>
    <w:p w14:paraId="487BB3B9" w14:textId="77777777" w:rsidR="00E66942" w:rsidRDefault="00E66942">
      <w:pPr>
        <w:spacing w:line="360" w:lineRule="auto"/>
        <w:rPr>
          <w:rFonts w:ascii="Helvetica" w:eastAsia="Helvetica" w:hAnsi="Helvetica" w:cs="Helvetica"/>
          <w:color w:val="000000"/>
          <w:u w:color="000000"/>
        </w:rPr>
      </w:pPr>
    </w:p>
    <w:p w14:paraId="4CAAA9DB"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On the 11 February 2023 and 25 February 2023 Player 1 played for Glentoran</w:t>
      </w:r>
      <w:r>
        <w:rPr>
          <w:rFonts w:ascii="Helvetica" w:hAnsi="Helvetica" w:cs="Arial Unicode MS"/>
          <w:color w:val="000000"/>
          <w:u w:color="000000"/>
        </w:rPr>
        <w:t>’</w:t>
      </w:r>
      <w:r>
        <w:rPr>
          <w:rFonts w:ascii="Helvetica" w:hAnsi="Helvetica" w:cs="Arial Unicode MS"/>
          <w:color w:val="000000"/>
          <w:u w:color="000000"/>
        </w:rPr>
        <w:t xml:space="preserve">s Under 13 side in the Subway NIBFA Under 13 Cup competition. This competition was an 11-a-side format. The game on the 25 February was played against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xml:space="preserve"> United Youth Under </w:t>
      </w:r>
      <w:proofErr w:type="gramStart"/>
      <w:r>
        <w:rPr>
          <w:rFonts w:ascii="Helvetica" w:hAnsi="Helvetica" w:cs="Arial Unicode MS"/>
          <w:color w:val="000000"/>
          <w:u w:color="000000"/>
        </w:rPr>
        <w:t>13, and</w:t>
      </w:r>
      <w:proofErr w:type="gramEnd"/>
      <w:r>
        <w:rPr>
          <w:rFonts w:ascii="Helvetica" w:hAnsi="Helvetica" w:cs="Arial Unicode MS"/>
          <w:color w:val="000000"/>
          <w:u w:color="000000"/>
        </w:rPr>
        <w:t xml:space="preserve"> was at the quarter final stage of the cup competition. Glentoran won the match by a score-line of 3-2 and but for the matter giving rise to this appeal would have progressed to the </w:t>
      </w:r>
      <w:proofErr w:type="spellStart"/>
      <w:r>
        <w:rPr>
          <w:rFonts w:ascii="Helvetica" w:hAnsi="Helvetica" w:cs="Arial Unicode MS"/>
          <w:color w:val="000000"/>
          <w:u w:color="000000"/>
        </w:rPr>
        <w:t>semi final</w:t>
      </w:r>
      <w:proofErr w:type="spellEnd"/>
      <w:r>
        <w:rPr>
          <w:rFonts w:ascii="Helvetica" w:hAnsi="Helvetica" w:cs="Arial Unicode MS"/>
          <w:color w:val="000000"/>
          <w:u w:color="000000"/>
        </w:rPr>
        <w:t xml:space="preserve"> stage of the competition. T</w:t>
      </w:r>
      <w:r>
        <w:rPr>
          <w:rFonts w:ascii="Helvetica" w:hAnsi="Helvetica" w:cs="Arial Unicode MS"/>
          <w:color w:val="000000"/>
          <w:u w:color="000000"/>
        </w:rPr>
        <w:t>he Committee was advised that this is a prestigious competition at this level of youth football.</w:t>
      </w:r>
    </w:p>
    <w:p w14:paraId="4A4314BE" w14:textId="77777777" w:rsidR="00E66942" w:rsidRDefault="00E66942">
      <w:pPr>
        <w:spacing w:line="360" w:lineRule="auto"/>
        <w:rPr>
          <w:rFonts w:ascii="Helvetica" w:eastAsia="Helvetica" w:hAnsi="Helvetica" w:cs="Helvetica"/>
          <w:color w:val="000000"/>
          <w:u w:color="000000"/>
        </w:rPr>
      </w:pPr>
    </w:p>
    <w:p w14:paraId="0A7FA33B"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The Committee understands that following Glentoran</w:t>
      </w:r>
      <w:r>
        <w:rPr>
          <w:rFonts w:ascii="Helvetica" w:hAnsi="Helvetica" w:cs="Arial Unicode MS"/>
          <w:color w:val="000000"/>
          <w:u w:color="000000"/>
        </w:rPr>
        <w:t>’</w:t>
      </w:r>
      <w:r>
        <w:rPr>
          <w:rFonts w:ascii="Helvetica" w:hAnsi="Helvetica" w:cs="Arial Unicode MS"/>
          <w:color w:val="000000"/>
          <w:u w:color="000000"/>
        </w:rPr>
        <w:t xml:space="preserve">s fixture with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xml:space="preserve"> United Youth, information was received by the Respondent which raised an issue reg</w:t>
      </w:r>
      <w:r>
        <w:rPr>
          <w:rFonts w:ascii="Helvetica" w:hAnsi="Helvetica" w:cs="Arial Unicode MS"/>
          <w:color w:val="000000"/>
          <w:u w:color="000000"/>
        </w:rPr>
        <w:t>arding Player 1</w:t>
      </w:r>
      <w:r>
        <w:rPr>
          <w:rFonts w:ascii="Helvetica" w:hAnsi="Helvetica" w:cs="Arial Unicode MS"/>
          <w:color w:val="000000"/>
          <w:u w:color="000000"/>
        </w:rPr>
        <w:t>’</w:t>
      </w:r>
      <w:r>
        <w:rPr>
          <w:rFonts w:ascii="Helvetica" w:hAnsi="Helvetica" w:cs="Arial Unicode MS"/>
          <w:color w:val="000000"/>
          <w:u w:color="000000"/>
        </w:rPr>
        <w:t xml:space="preserve">s eligibility to participate in that match. </w:t>
      </w:r>
    </w:p>
    <w:p w14:paraId="5DA5B89E" w14:textId="77777777" w:rsidR="00E66942" w:rsidRDefault="00E66942">
      <w:pPr>
        <w:spacing w:line="360" w:lineRule="auto"/>
        <w:rPr>
          <w:rFonts w:ascii="Helvetica" w:eastAsia="Helvetica" w:hAnsi="Helvetica" w:cs="Helvetica"/>
          <w:color w:val="000000"/>
          <w:u w:color="000000"/>
        </w:rPr>
      </w:pPr>
    </w:p>
    <w:p w14:paraId="39A8695A" w14:textId="77777777" w:rsidR="00E66942" w:rsidRDefault="00117EE7">
      <w:pPr>
        <w:numPr>
          <w:ilvl w:val="0"/>
          <w:numId w:val="3"/>
        </w:numPr>
        <w:spacing w:line="360" w:lineRule="auto"/>
        <w:rPr>
          <w:rFonts w:ascii="Helvetica" w:hAnsi="Helvetica" w:cs="Arial Unicode MS"/>
          <w:color w:val="000000"/>
          <w:u w:color="000000"/>
        </w:rPr>
      </w:pPr>
      <w:proofErr w:type="gramStart"/>
      <w:r>
        <w:rPr>
          <w:rFonts w:ascii="Helvetica" w:hAnsi="Helvetica" w:cs="Arial Unicode MS"/>
          <w:color w:val="000000"/>
          <w:u w:color="000000"/>
        </w:rPr>
        <w:t>In light of</w:t>
      </w:r>
      <w:proofErr w:type="gramEnd"/>
      <w:r>
        <w:rPr>
          <w:rFonts w:ascii="Helvetica" w:hAnsi="Helvetica" w:cs="Arial Unicode MS"/>
          <w:color w:val="000000"/>
          <w:u w:color="000000"/>
        </w:rPr>
        <w:t xml:space="preserve"> the information received, and exercising the power provided by Rule 8.5 of the NIBFA Cup and Plate Disciplinary Rules, the Respondent assessed the playing history of Player 1. This i</w:t>
      </w:r>
      <w:r>
        <w:rPr>
          <w:rFonts w:ascii="Helvetica" w:hAnsi="Helvetica" w:cs="Arial Unicode MS"/>
          <w:color w:val="000000"/>
          <w:u w:color="000000"/>
        </w:rPr>
        <w:t xml:space="preserve">ndicated that he had played for both the Under 12 and Under 13 teams and had played in the 9-a-side format (at under 12 level) and in the 11-a-side format at (under 13 level).  </w:t>
      </w:r>
    </w:p>
    <w:p w14:paraId="0CDE8760" w14:textId="77777777" w:rsidR="00E66942" w:rsidRDefault="00E66942">
      <w:pPr>
        <w:spacing w:line="360" w:lineRule="auto"/>
        <w:rPr>
          <w:rFonts w:ascii="Helvetica" w:eastAsia="Helvetica" w:hAnsi="Helvetica" w:cs="Helvetica"/>
          <w:color w:val="000000"/>
          <w:u w:color="000000"/>
        </w:rPr>
      </w:pPr>
    </w:p>
    <w:p w14:paraId="4FFC3402"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As appears from the decision of the Respondent, it concluded that Player 1</w:t>
      </w:r>
      <w:r>
        <w:rPr>
          <w:rFonts w:ascii="Helvetica" w:hAnsi="Helvetica" w:cs="Arial Unicode MS"/>
          <w:color w:val="000000"/>
          <w:u w:color="000000"/>
        </w:rPr>
        <w:t>’</w:t>
      </w:r>
      <w:r>
        <w:rPr>
          <w:rFonts w:ascii="Helvetica" w:hAnsi="Helvetica" w:cs="Arial Unicode MS"/>
          <w:color w:val="000000"/>
          <w:u w:color="000000"/>
        </w:rPr>
        <w:t xml:space="preserve">s </w:t>
      </w:r>
      <w:r>
        <w:rPr>
          <w:rFonts w:ascii="Helvetica" w:hAnsi="Helvetica" w:cs="Arial Unicode MS"/>
          <w:color w:val="000000"/>
          <w:u w:color="000000"/>
        </w:rPr>
        <w:t xml:space="preserve">participation in the quarter final match against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xml:space="preserve"> United Youth was a breach of Rule 4 of the NIBFA Competition Rules:</w:t>
      </w:r>
    </w:p>
    <w:p w14:paraId="19640B2B" w14:textId="77777777" w:rsidR="00E66942" w:rsidRDefault="00E66942">
      <w:pPr>
        <w:spacing w:line="360" w:lineRule="auto"/>
        <w:rPr>
          <w:rFonts w:ascii="Helvetica" w:eastAsia="Helvetica" w:hAnsi="Helvetica" w:cs="Helvetica"/>
          <w:color w:val="000000"/>
          <w:u w:color="000000"/>
        </w:rPr>
      </w:pPr>
    </w:p>
    <w:p w14:paraId="2E0D2D50" w14:textId="77777777" w:rsidR="00E66942" w:rsidRDefault="00117EE7">
      <w:pPr>
        <w:spacing w:line="360" w:lineRule="auto"/>
        <w:ind w:left="785"/>
        <w:rPr>
          <w:rFonts w:ascii="Helvetica" w:eastAsia="Helvetica" w:hAnsi="Helvetica" w:cs="Helvetica"/>
          <w:color w:val="000000"/>
          <w:u w:color="000000"/>
        </w:rPr>
      </w:pPr>
      <w:r>
        <w:rPr>
          <w:rFonts w:ascii="Helvetica" w:hAnsi="Helvetica" w:cs="Arial Unicode MS"/>
          <w:color w:val="000000"/>
          <w:u w:color="000000"/>
        </w:rPr>
        <w:t>“</w:t>
      </w:r>
      <w:r>
        <w:rPr>
          <w:rFonts w:ascii="Helvetica" w:hAnsi="Helvetica" w:cs="Arial Unicode MS"/>
          <w:color w:val="000000"/>
          <w:u w:color="000000"/>
        </w:rPr>
        <w:t>Having assessed the playing history of [Player 1] in this competition, Glentoran 2010 National League squad participating in th</w:t>
      </w:r>
      <w:r>
        <w:rPr>
          <w:rFonts w:ascii="Helvetica" w:hAnsi="Helvetica" w:cs="Arial Unicode MS"/>
          <w:color w:val="000000"/>
          <w:u w:color="000000"/>
        </w:rPr>
        <w:t>e NIBFA Quarter Final did name, and play [Player 1] in breach of Rule 4 and will therefore be eliminated from the competition.</w:t>
      </w:r>
      <w:r>
        <w:rPr>
          <w:rFonts w:ascii="Helvetica" w:hAnsi="Helvetica" w:cs="Arial Unicode MS"/>
          <w:color w:val="000000"/>
          <w:u w:color="000000"/>
        </w:rPr>
        <w:t>”</w:t>
      </w:r>
    </w:p>
    <w:p w14:paraId="4A9034D9" w14:textId="77777777" w:rsidR="00E66942" w:rsidRDefault="00E66942">
      <w:pPr>
        <w:spacing w:line="360" w:lineRule="auto"/>
        <w:rPr>
          <w:rFonts w:ascii="Helvetica" w:eastAsia="Helvetica" w:hAnsi="Helvetica" w:cs="Helvetica"/>
          <w:color w:val="000000"/>
          <w:u w:color="000000"/>
        </w:rPr>
      </w:pPr>
    </w:p>
    <w:p w14:paraId="19483A0F" w14:textId="77777777" w:rsidR="00E66942" w:rsidRDefault="00117EE7">
      <w:pPr>
        <w:spacing w:line="360" w:lineRule="auto"/>
        <w:rPr>
          <w:rFonts w:ascii="Helvetica" w:eastAsia="Helvetica" w:hAnsi="Helvetica" w:cs="Helvetica"/>
          <w:b/>
          <w:bCs/>
          <w:color w:val="000000"/>
          <w:u w:color="000000"/>
        </w:rPr>
      </w:pPr>
      <w:r>
        <w:rPr>
          <w:rFonts w:ascii="Helvetica Neue" w:hAnsi="Helvetica Neue" w:cs="Arial Unicode MS"/>
          <w:b/>
          <w:bCs/>
          <w:color w:val="000000"/>
          <w:sz w:val="22"/>
          <w:szCs w:val="22"/>
          <w:u w:color="000000"/>
        </w:rPr>
        <w:t>Relevant Rules</w:t>
      </w:r>
    </w:p>
    <w:p w14:paraId="02E80108"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The Committee was referred to the following Rules which are relevant for the purposes of this appeal:</w:t>
      </w:r>
    </w:p>
    <w:p w14:paraId="197C507F" w14:textId="77777777" w:rsidR="00E66942" w:rsidRDefault="00E66942">
      <w:pPr>
        <w:spacing w:line="360" w:lineRule="auto"/>
        <w:rPr>
          <w:rFonts w:ascii="Helvetica" w:eastAsia="Helvetica" w:hAnsi="Helvetica" w:cs="Helvetica"/>
          <w:color w:val="000000"/>
          <w:u w:color="000000"/>
        </w:rPr>
      </w:pPr>
    </w:p>
    <w:p w14:paraId="5128E1A5"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Both parties accepted the central importance of Rule 4 of the NIBFA Competition Rules which concerns the registration of players. Rule 4A provides that a player may only play for one team in their own age group for a club, but they may also play for one ot</w:t>
      </w:r>
      <w:r>
        <w:rPr>
          <w:rFonts w:ascii="Helvetica" w:hAnsi="Helvetica" w:cs="Arial Unicode MS"/>
          <w:color w:val="000000"/>
          <w:u w:color="000000"/>
        </w:rPr>
        <w:t xml:space="preserve">her team in an older age group for the same club within certain approved age bands. Rule 4A must be read together with Rule 4B. </w:t>
      </w:r>
    </w:p>
    <w:p w14:paraId="286548B1" w14:textId="77777777" w:rsidR="00E66942" w:rsidRDefault="00E66942">
      <w:pPr>
        <w:spacing w:line="360" w:lineRule="auto"/>
        <w:rPr>
          <w:rFonts w:ascii="Helvetica" w:eastAsia="Helvetica" w:hAnsi="Helvetica" w:cs="Helvetica"/>
          <w:color w:val="000000"/>
          <w:u w:color="000000"/>
        </w:rPr>
      </w:pPr>
    </w:p>
    <w:p w14:paraId="50A2684B"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Rule 4B provides as follows:</w:t>
      </w:r>
    </w:p>
    <w:p w14:paraId="0187F5B8" w14:textId="77777777" w:rsidR="00E66942" w:rsidRDefault="00E66942">
      <w:pPr>
        <w:spacing w:line="360" w:lineRule="auto"/>
        <w:rPr>
          <w:rFonts w:ascii="Helvetica" w:eastAsia="Helvetica" w:hAnsi="Helvetica" w:cs="Helvetica"/>
          <w:color w:val="000000"/>
          <w:u w:color="000000"/>
        </w:rPr>
      </w:pPr>
    </w:p>
    <w:p w14:paraId="57EA399B" w14:textId="77777777" w:rsidR="00E66942" w:rsidRDefault="00117EE7">
      <w:pPr>
        <w:spacing w:line="360" w:lineRule="auto"/>
        <w:ind w:left="785"/>
        <w:rPr>
          <w:rFonts w:ascii="Helvetica" w:eastAsia="Helvetica" w:hAnsi="Helvetica" w:cs="Helvetica"/>
          <w:color w:val="000000"/>
          <w:u w:color="000000"/>
        </w:rPr>
      </w:pPr>
      <w:r>
        <w:rPr>
          <w:rFonts w:ascii="Helvetica" w:hAnsi="Helvetica" w:cs="Arial Unicode MS"/>
          <w:color w:val="000000"/>
          <w:u w:color="000000"/>
        </w:rPr>
        <w:t>“</w:t>
      </w:r>
      <w:r>
        <w:rPr>
          <w:rFonts w:ascii="Helvetica" w:hAnsi="Helvetica" w:cs="Arial Unicode MS"/>
          <w:color w:val="000000"/>
          <w:u w:color="000000"/>
        </w:rPr>
        <w:t>Teams may include players from an age group below. (However, players playing in the 9-a-side co</w:t>
      </w:r>
      <w:r>
        <w:rPr>
          <w:rFonts w:ascii="Helvetica" w:hAnsi="Helvetica" w:cs="Arial Unicode MS"/>
          <w:color w:val="000000"/>
          <w:u w:color="000000"/>
        </w:rPr>
        <w:t>mpetition may not play in the 11-a-side format and similarly players who have played at 11-a-side may not take part in the 9-a-side format.) Players are restricted to playing for those age groups either immediately 1 year or 2 years above the age group for</w:t>
      </w:r>
      <w:r>
        <w:rPr>
          <w:rFonts w:ascii="Helvetica" w:hAnsi="Helvetica" w:cs="Arial Unicode MS"/>
          <w:color w:val="000000"/>
          <w:u w:color="000000"/>
        </w:rPr>
        <w:t xml:space="preserve"> which he or she qualifies. In all cases it is the responsibility of coaches and parents to assess the player is physically capable of meeting the demands of an older age group.</w:t>
      </w:r>
      <w:r>
        <w:rPr>
          <w:rFonts w:ascii="Helvetica" w:hAnsi="Helvetica" w:cs="Arial Unicode MS"/>
          <w:color w:val="000000"/>
          <w:u w:color="000000"/>
        </w:rPr>
        <w:t>”</w:t>
      </w:r>
    </w:p>
    <w:p w14:paraId="4FB0DE21" w14:textId="77777777" w:rsidR="00E66942" w:rsidRDefault="00E66942">
      <w:pPr>
        <w:spacing w:line="360" w:lineRule="auto"/>
        <w:rPr>
          <w:rFonts w:ascii="Helvetica" w:eastAsia="Helvetica" w:hAnsi="Helvetica" w:cs="Helvetica"/>
          <w:color w:val="000000"/>
          <w:u w:color="000000"/>
        </w:rPr>
      </w:pPr>
    </w:p>
    <w:p w14:paraId="4F466FBB" w14:textId="77777777" w:rsidR="00E66942" w:rsidRDefault="00E66942">
      <w:pPr>
        <w:spacing w:line="360" w:lineRule="auto"/>
        <w:rPr>
          <w:rFonts w:ascii="Helvetica" w:eastAsia="Helvetica" w:hAnsi="Helvetica" w:cs="Helvetica"/>
          <w:color w:val="000000"/>
          <w:u w:color="000000"/>
        </w:rPr>
      </w:pPr>
    </w:p>
    <w:p w14:paraId="5C39274F"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 xml:space="preserve">    Rule 8 of the NIBFA Competition Rules concerns </w:t>
      </w:r>
      <w:r>
        <w:rPr>
          <w:rFonts w:ascii="Helvetica" w:hAnsi="Helvetica" w:cs="Arial Unicode MS"/>
          <w:color w:val="000000"/>
          <w:u w:color="000000"/>
        </w:rPr>
        <w:t>‘</w:t>
      </w:r>
      <w:r>
        <w:rPr>
          <w:rFonts w:ascii="Helvetica" w:hAnsi="Helvetica" w:cs="Arial Unicode MS"/>
          <w:color w:val="000000"/>
          <w:u w:color="000000"/>
        </w:rPr>
        <w:t>Match Days.</w:t>
      </w:r>
      <w:r>
        <w:rPr>
          <w:rFonts w:ascii="Helvetica" w:hAnsi="Helvetica" w:cs="Arial Unicode MS"/>
          <w:color w:val="000000"/>
          <w:u w:color="000000"/>
        </w:rPr>
        <w:t xml:space="preserve">’ </w:t>
      </w:r>
      <w:r>
        <w:rPr>
          <w:rFonts w:ascii="Helvetica" w:hAnsi="Helvetica" w:cs="Arial Unicode MS"/>
          <w:color w:val="000000"/>
          <w:u w:color="000000"/>
        </w:rPr>
        <w:t>The Appell</w:t>
      </w:r>
      <w:r>
        <w:rPr>
          <w:rFonts w:ascii="Helvetica" w:hAnsi="Helvetica" w:cs="Arial Unicode MS"/>
          <w:color w:val="000000"/>
          <w:u w:color="000000"/>
        </w:rPr>
        <w:t xml:space="preserve">ant drew particular attention to Rule 8.3: </w:t>
      </w:r>
    </w:p>
    <w:p w14:paraId="17A5DB64" w14:textId="77777777" w:rsidR="00E66942" w:rsidRDefault="00E66942">
      <w:pPr>
        <w:spacing w:line="360" w:lineRule="auto"/>
        <w:rPr>
          <w:rFonts w:ascii="Helvetica" w:eastAsia="Helvetica" w:hAnsi="Helvetica" w:cs="Helvetica"/>
          <w:color w:val="000000"/>
          <w:u w:color="000000"/>
        </w:rPr>
      </w:pPr>
    </w:p>
    <w:p w14:paraId="50DE4F10" w14:textId="77777777" w:rsidR="00E66942" w:rsidRDefault="00117EE7">
      <w:pPr>
        <w:spacing w:line="360" w:lineRule="auto"/>
        <w:ind w:left="785"/>
        <w:rPr>
          <w:rFonts w:ascii="Helvetica" w:eastAsia="Helvetica" w:hAnsi="Helvetica" w:cs="Helvetica"/>
          <w:color w:val="000000"/>
          <w:u w:color="000000"/>
        </w:rPr>
      </w:pPr>
      <w:r>
        <w:rPr>
          <w:rFonts w:ascii="Helvetica" w:hAnsi="Helvetica" w:cs="Arial Unicode MS"/>
          <w:color w:val="000000"/>
          <w:u w:color="000000"/>
        </w:rPr>
        <w:t>“</w:t>
      </w:r>
      <w:r>
        <w:rPr>
          <w:rFonts w:ascii="Helvetica" w:hAnsi="Helvetica" w:cs="Arial Unicode MS"/>
          <w:color w:val="000000"/>
          <w:u w:color="000000"/>
        </w:rPr>
        <w:t>Any protests about player eligibility or the match venue should be made in writing to the referee prior to kick off whereupon the referee will decide if the match will proceed on the day. Teams who fail to have</w:t>
      </w:r>
      <w:r>
        <w:rPr>
          <w:rFonts w:ascii="Helvetica" w:hAnsi="Helvetica" w:cs="Arial Unicode MS"/>
          <w:color w:val="000000"/>
          <w:u w:color="000000"/>
        </w:rPr>
        <w:t xml:space="preserve"> all their player photographs visible via Comet on match day will forfeit the result of the relevant match with all resultant expenses charged. However, if the match is played no appeal or claim in respect of the result by any club will be considered.</w:t>
      </w:r>
      <w:r>
        <w:rPr>
          <w:rFonts w:ascii="Helvetica" w:hAnsi="Helvetica" w:cs="Arial Unicode MS"/>
          <w:color w:val="000000"/>
          <w:u w:color="000000"/>
        </w:rPr>
        <w:t>”</w:t>
      </w:r>
    </w:p>
    <w:p w14:paraId="7B8BFA71" w14:textId="77777777" w:rsidR="00E66942" w:rsidRDefault="00E66942">
      <w:pPr>
        <w:spacing w:line="360" w:lineRule="auto"/>
        <w:rPr>
          <w:rFonts w:ascii="Helvetica" w:eastAsia="Helvetica" w:hAnsi="Helvetica" w:cs="Helvetica"/>
          <w:color w:val="000000"/>
          <w:u w:color="000000"/>
        </w:rPr>
      </w:pPr>
    </w:p>
    <w:p w14:paraId="4413B4E4"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Ru</w:t>
      </w:r>
      <w:r>
        <w:rPr>
          <w:rFonts w:ascii="Helvetica" w:hAnsi="Helvetica" w:cs="Arial Unicode MS"/>
          <w:color w:val="000000"/>
          <w:u w:color="000000"/>
        </w:rPr>
        <w:t xml:space="preserve">le 8.5 was referred to by the Respondent. It simply states that, </w:t>
      </w:r>
      <w:r>
        <w:rPr>
          <w:rFonts w:ascii="Helvetica" w:hAnsi="Helvetica" w:cs="Arial Unicode MS"/>
          <w:color w:val="000000"/>
          <w:u w:color="000000"/>
        </w:rPr>
        <w:t>“</w:t>
      </w:r>
      <w:r>
        <w:rPr>
          <w:rFonts w:ascii="Helvetica" w:hAnsi="Helvetica" w:cs="Arial Unicode MS"/>
          <w:color w:val="000000"/>
          <w:u w:color="000000"/>
        </w:rPr>
        <w:t>All match cards will be subject to scrutiny by NIBFA.</w:t>
      </w:r>
      <w:r>
        <w:rPr>
          <w:rFonts w:ascii="Helvetica" w:hAnsi="Helvetica" w:cs="Arial Unicode MS"/>
          <w:color w:val="000000"/>
          <w:u w:color="000000"/>
        </w:rPr>
        <w:t xml:space="preserve">” </w:t>
      </w:r>
      <w:r>
        <w:rPr>
          <w:rFonts w:ascii="Helvetica" w:hAnsi="Helvetica" w:cs="Arial Unicode MS"/>
          <w:color w:val="000000"/>
          <w:u w:color="000000"/>
        </w:rPr>
        <w:t xml:space="preserve">The Committee considered that it can be inferred from the other provisions within Rule 8 that scrutiny of match cards may be performed </w:t>
      </w:r>
      <w:r>
        <w:rPr>
          <w:rFonts w:ascii="Helvetica" w:hAnsi="Helvetica" w:cs="Arial Unicode MS"/>
          <w:color w:val="000000"/>
          <w:u w:color="000000"/>
        </w:rPr>
        <w:t xml:space="preserve">for a range of purposes including player eligibility, disciplinary </w:t>
      </w:r>
      <w:proofErr w:type="gramStart"/>
      <w:r>
        <w:rPr>
          <w:rFonts w:ascii="Helvetica" w:hAnsi="Helvetica" w:cs="Arial Unicode MS"/>
          <w:color w:val="000000"/>
          <w:u w:color="000000"/>
        </w:rPr>
        <w:t>issues</w:t>
      </w:r>
      <w:proofErr w:type="gramEnd"/>
      <w:r>
        <w:rPr>
          <w:rFonts w:ascii="Helvetica" w:hAnsi="Helvetica" w:cs="Arial Unicode MS"/>
          <w:color w:val="000000"/>
          <w:u w:color="000000"/>
        </w:rPr>
        <w:t xml:space="preserve"> and match result.</w:t>
      </w:r>
    </w:p>
    <w:p w14:paraId="430F61C6" w14:textId="77777777" w:rsidR="00E66942" w:rsidRDefault="00E66942">
      <w:pPr>
        <w:spacing w:line="360" w:lineRule="auto"/>
        <w:rPr>
          <w:rFonts w:ascii="Helvetica" w:eastAsia="Helvetica" w:hAnsi="Helvetica" w:cs="Helvetica"/>
          <w:color w:val="000000"/>
          <w:u w:color="000000"/>
        </w:rPr>
      </w:pPr>
    </w:p>
    <w:p w14:paraId="4026C5B1"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 xml:space="preserve">The Committee was also referred to the NIBFA Cup and Plate Disciplinary Rules. As appears from Section 1.2 of these Rules, they have applied since the 1 August 2022, </w:t>
      </w:r>
      <w:r>
        <w:rPr>
          <w:rFonts w:ascii="Helvetica" w:hAnsi="Helvetica" w:cs="Arial Unicode MS"/>
          <w:color w:val="000000"/>
          <w:u w:color="000000"/>
        </w:rPr>
        <w:t>“</w:t>
      </w:r>
      <w:r>
        <w:rPr>
          <w:rFonts w:ascii="Helvetica" w:hAnsi="Helvetica" w:cs="Arial Unicode MS"/>
          <w:color w:val="000000"/>
          <w:u w:color="000000"/>
        </w:rPr>
        <w:t>to all football under the jurisdiction of the Northern Ireland Boys</w:t>
      </w:r>
      <w:r>
        <w:rPr>
          <w:rFonts w:ascii="Helvetica" w:hAnsi="Helvetica" w:cs="Arial Unicode MS"/>
          <w:color w:val="000000"/>
          <w:u w:color="000000"/>
        </w:rPr>
        <w:t xml:space="preserve">’ </w:t>
      </w:r>
      <w:r>
        <w:rPr>
          <w:rFonts w:ascii="Helvetica" w:hAnsi="Helvetica" w:cs="Arial Unicode MS"/>
          <w:color w:val="000000"/>
          <w:u w:color="000000"/>
        </w:rPr>
        <w:t>Football Association</w:t>
      </w:r>
      <w:r>
        <w:rPr>
          <w:rFonts w:ascii="Helvetica" w:hAnsi="Helvetica" w:cs="Arial Unicode MS"/>
          <w:color w:val="000000"/>
          <w:u w:color="000000"/>
        </w:rPr>
        <w:t>.</w:t>
      </w:r>
      <w:r>
        <w:rPr>
          <w:rFonts w:ascii="Helvetica" w:hAnsi="Helvetica" w:cs="Arial Unicode MS"/>
          <w:color w:val="000000"/>
          <w:u w:color="000000"/>
        </w:rPr>
        <w:t>”</w:t>
      </w:r>
    </w:p>
    <w:p w14:paraId="2A7AEC32" w14:textId="77777777" w:rsidR="00E66942" w:rsidRDefault="00E66942">
      <w:pPr>
        <w:spacing w:line="360" w:lineRule="auto"/>
        <w:rPr>
          <w:rFonts w:ascii="Helvetica" w:eastAsia="Helvetica" w:hAnsi="Helvetica" w:cs="Helvetica"/>
          <w:color w:val="000000"/>
          <w:u w:color="000000"/>
        </w:rPr>
      </w:pPr>
    </w:p>
    <w:p w14:paraId="48C40C49"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 xml:space="preserve"> The Respondent referred the Committee to Rule 1.7 which provides, inter alia, that disciplinary hearings should be conducted in </w:t>
      </w:r>
      <w:r>
        <w:rPr>
          <w:rFonts w:ascii="Helvetica" w:hAnsi="Helvetica" w:cs="Arial Unicode MS"/>
          <w:color w:val="000000"/>
          <w:u w:color="000000"/>
        </w:rPr>
        <w:t>“</w:t>
      </w:r>
      <w:r>
        <w:rPr>
          <w:rFonts w:ascii="Helvetica" w:hAnsi="Helvetica" w:cs="Arial Unicode MS"/>
          <w:color w:val="000000"/>
          <w:u w:color="000000"/>
        </w:rPr>
        <w:t>a fair and just manner</w:t>
      </w:r>
      <w:r>
        <w:rPr>
          <w:rFonts w:ascii="Helvetica" w:hAnsi="Helvetica" w:cs="Arial Unicode MS"/>
          <w:color w:val="000000"/>
          <w:u w:color="000000"/>
        </w:rPr>
        <w:t xml:space="preserve">” </w:t>
      </w:r>
      <w:r>
        <w:rPr>
          <w:rFonts w:ascii="Helvetica" w:hAnsi="Helvetica" w:cs="Arial Unicode MS"/>
          <w:color w:val="000000"/>
          <w:u w:color="000000"/>
        </w:rPr>
        <w:t xml:space="preserve">and which </w:t>
      </w:r>
      <w:proofErr w:type="spellStart"/>
      <w:r>
        <w:rPr>
          <w:rFonts w:ascii="Helvetica" w:hAnsi="Helvetica" w:cs="Arial Unicode MS"/>
          <w:color w:val="000000"/>
          <w:u w:color="000000"/>
        </w:rPr>
        <w:t>emphasises</w:t>
      </w:r>
      <w:proofErr w:type="spellEnd"/>
      <w:r>
        <w:rPr>
          <w:rFonts w:ascii="Helvetica" w:hAnsi="Helvetica" w:cs="Arial Unicode MS"/>
          <w:color w:val="000000"/>
          <w:u w:color="000000"/>
        </w:rPr>
        <w:t xml:space="preserve"> that </w:t>
      </w:r>
      <w:r>
        <w:rPr>
          <w:rFonts w:ascii="Helvetica" w:hAnsi="Helvetica" w:cs="Arial Unicode MS"/>
          <w:color w:val="000000"/>
          <w:u w:color="000000"/>
        </w:rPr>
        <w:t>“</w:t>
      </w:r>
      <w:r>
        <w:rPr>
          <w:rFonts w:ascii="Helvetica" w:hAnsi="Helvetica" w:cs="Arial Unicode MS"/>
          <w:color w:val="000000"/>
          <w:u w:color="000000"/>
        </w:rPr>
        <w:t>procedural and technical considerations shall take second place to the over</w:t>
      </w:r>
      <w:r>
        <w:rPr>
          <w:rFonts w:ascii="Helvetica" w:hAnsi="Helvetica" w:cs="Arial Unicode MS"/>
          <w:color w:val="000000"/>
          <w:u w:color="000000"/>
        </w:rPr>
        <w:t>riding objective of being just and fair to the parties.</w:t>
      </w:r>
      <w:r>
        <w:rPr>
          <w:rFonts w:ascii="Helvetica" w:hAnsi="Helvetica" w:cs="Arial Unicode MS"/>
          <w:color w:val="000000"/>
          <w:u w:color="000000"/>
        </w:rPr>
        <w:t>”</w:t>
      </w:r>
    </w:p>
    <w:p w14:paraId="2418295C" w14:textId="77777777" w:rsidR="00E66942" w:rsidRDefault="00E66942">
      <w:pPr>
        <w:spacing w:line="360" w:lineRule="auto"/>
        <w:rPr>
          <w:rFonts w:ascii="Helvetica" w:eastAsia="Helvetica" w:hAnsi="Helvetica" w:cs="Helvetica"/>
          <w:color w:val="000000"/>
          <w:u w:color="000000"/>
        </w:rPr>
      </w:pPr>
    </w:p>
    <w:p w14:paraId="4DF763EC"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 xml:space="preserve">Both parties referred to Rule 1.9 of the Disciplinary Rules. The Appellant made a submission in respect of Rule 1.9(1) which provides that the Committee shall have power </w:t>
      </w:r>
      <w:r>
        <w:rPr>
          <w:rFonts w:ascii="Helvetica" w:hAnsi="Helvetica" w:cs="Arial Unicode MS"/>
          <w:color w:val="000000"/>
          <w:u w:color="000000"/>
        </w:rPr>
        <w:t>“</w:t>
      </w:r>
      <w:r>
        <w:rPr>
          <w:rFonts w:ascii="Helvetica" w:hAnsi="Helvetica" w:cs="Arial Unicode MS"/>
          <w:color w:val="000000"/>
          <w:u w:color="000000"/>
        </w:rPr>
        <w:t>to sanction serious discipl</w:t>
      </w:r>
      <w:r>
        <w:rPr>
          <w:rFonts w:ascii="Helvetica" w:hAnsi="Helvetica" w:cs="Arial Unicode MS"/>
          <w:color w:val="000000"/>
          <w:u w:color="000000"/>
        </w:rPr>
        <w:t>inary infringements which have escaped a match official</w:t>
      </w:r>
      <w:r>
        <w:rPr>
          <w:rFonts w:ascii="Helvetica" w:hAnsi="Helvetica" w:cs="Arial Unicode MS"/>
          <w:color w:val="000000"/>
          <w:u w:color="000000"/>
        </w:rPr>
        <w:t>’</w:t>
      </w:r>
      <w:r>
        <w:rPr>
          <w:rFonts w:ascii="Helvetica" w:hAnsi="Helvetica" w:cs="Arial Unicode MS"/>
          <w:color w:val="000000"/>
          <w:u w:color="000000"/>
        </w:rPr>
        <w:t>s attention.</w:t>
      </w:r>
      <w:r>
        <w:rPr>
          <w:rFonts w:ascii="Helvetica" w:hAnsi="Helvetica" w:cs="Arial Unicode MS"/>
          <w:color w:val="000000"/>
          <w:u w:color="000000"/>
        </w:rPr>
        <w:t xml:space="preserve">” </w:t>
      </w:r>
      <w:r>
        <w:rPr>
          <w:rFonts w:ascii="Helvetica" w:hAnsi="Helvetica" w:cs="Arial Unicode MS"/>
          <w:color w:val="000000"/>
          <w:u w:color="000000"/>
        </w:rPr>
        <w:t>The Respondent relied on the provisions of Rule 1.9(3) which lists the range of sanctions which might be imposed by the Committee, including expulsion from a competition.</w:t>
      </w:r>
    </w:p>
    <w:p w14:paraId="26C122BD" w14:textId="77777777" w:rsidR="00E66942" w:rsidRDefault="00E66942">
      <w:pPr>
        <w:spacing w:line="360" w:lineRule="auto"/>
        <w:rPr>
          <w:rFonts w:ascii="Helvetica" w:eastAsia="Helvetica" w:hAnsi="Helvetica" w:cs="Helvetica"/>
          <w:color w:val="000000"/>
          <w:u w:color="000000"/>
        </w:rPr>
      </w:pPr>
    </w:p>
    <w:p w14:paraId="5A5E6382"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Finally, the C</w:t>
      </w:r>
      <w:r>
        <w:rPr>
          <w:rFonts w:ascii="Helvetica" w:hAnsi="Helvetica" w:cs="Arial Unicode MS"/>
          <w:color w:val="000000"/>
          <w:u w:color="000000"/>
        </w:rPr>
        <w:t>ommittee noted that Rule 1.13 (which was referred to in the Respondent</w:t>
      </w:r>
      <w:r>
        <w:rPr>
          <w:rFonts w:ascii="Helvetica" w:hAnsi="Helvetica" w:cs="Arial Unicode MS"/>
          <w:color w:val="000000"/>
          <w:u w:color="000000"/>
        </w:rPr>
        <w:t>’</w:t>
      </w:r>
      <w:r>
        <w:rPr>
          <w:rFonts w:ascii="Helvetica" w:hAnsi="Helvetica" w:cs="Arial Unicode MS"/>
          <w:color w:val="000000"/>
          <w:u w:color="000000"/>
        </w:rPr>
        <w:t xml:space="preserve">s decision) </w:t>
      </w:r>
      <w:proofErr w:type="spellStart"/>
      <w:r>
        <w:rPr>
          <w:rFonts w:ascii="Helvetica" w:hAnsi="Helvetica" w:cs="Arial Unicode MS"/>
          <w:color w:val="000000"/>
          <w:u w:color="000000"/>
        </w:rPr>
        <w:t>emphasises</w:t>
      </w:r>
      <w:proofErr w:type="spellEnd"/>
      <w:r>
        <w:rPr>
          <w:rFonts w:ascii="Helvetica" w:hAnsi="Helvetica" w:cs="Arial Unicode MS"/>
          <w:color w:val="000000"/>
          <w:u w:color="000000"/>
        </w:rPr>
        <w:t xml:space="preserve"> that while every effort will be made to </w:t>
      </w:r>
      <w:r>
        <w:rPr>
          <w:rFonts w:ascii="Helvetica" w:hAnsi="Helvetica" w:cs="Arial Unicode MS"/>
          <w:color w:val="000000"/>
          <w:u w:color="000000"/>
        </w:rPr>
        <w:t>“</w:t>
      </w:r>
      <w:r>
        <w:rPr>
          <w:rFonts w:ascii="Helvetica" w:hAnsi="Helvetica" w:cs="Arial Unicode MS"/>
          <w:color w:val="000000"/>
          <w:u w:color="000000"/>
        </w:rPr>
        <w:t>act consistently</w:t>
      </w:r>
      <w:proofErr w:type="gramStart"/>
      <w:r>
        <w:rPr>
          <w:rFonts w:ascii="Helvetica" w:hAnsi="Helvetica" w:cs="Arial Unicode MS"/>
          <w:color w:val="000000"/>
          <w:u w:color="000000"/>
        </w:rPr>
        <w:t>,</w:t>
      </w:r>
      <w:r>
        <w:rPr>
          <w:rFonts w:ascii="Helvetica" w:hAnsi="Helvetica" w:cs="Arial Unicode MS"/>
          <w:color w:val="000000"/>
          <w:u w:color="000000"/>
        </w:rPr>
        <w:t xml:space="preserve">”  </w:t>
      </w:r>
      <w:r>
        <w:rPr>
          <w:rFonts w:ascii="Helvetica" w:hAnsi="Helvetica" w:cs="Arial Unicode MS"/>
          <w:color w:val="000000"/>
          <w:u w:color="000000"/>
        </w:rPr>
        <w:t>the</w:t>
      </w:r>
      <w:proofErr w:type="gramEnd"/>
      <w:r>
        <w:rPr>
          <w:rFonts w:ascii="Helvetica" w:hAnsi="Helvetica" w:cs="Arial Unicode MS"/>
          <w:color w:val="000000"/>
          <w:u w:color="000000"/>
        </w:rPr>
        <w:t xml:space="preserve"> Committee is not bound by any doctrine of binding precedent.</w:t>
      </w:r>
    </w:p>
    <w:p w14:paraId="721C4A90" w14:textId="77777777" w:rsidR="00E66942" w:rsidRDefault="00E66942">
      <w:pPr>
        <w:spacing w:line="360" w:lineRule="auto"/>
        <w:rPr>
          <w:rFonts w:ascii="Helvetica" w:eastAsia="Helvetica" w:hAnsi="Helvetica" w:cs="Helvetica"/>
          <w:color w:val="000000"/>
          <w:u w:color="000000"/>
        </w:rPr>
      </w:pPr>
    </w:p>
    <w:p w14:paraId="42657C6F" w14:textId="77777777" w:rsidR="00E66942" w:rsidRDefault="00117EE7">
      <w:pPr>
        <w:spacing w:line="360" w:lineRule="auto"/>
        <w:rPr>
          <w:rFonts w:ascii="Helvetica" w:eastAsia="Helvetica" w:hAnsi="Helvetica" w:cs="Helvetica"/>
          <w:b/>
          <w:bCs/>
          <w:color w:val="000000"/>
          <w:u w:color="000000"/>
        </w:rPr>
      </w:pPr>
      <w:r>
        <w:rPr>
          <w:rFonts w:ascii="Helvetica" w:hAnsi="Helvetica" w:cs="Arial Unicode MS"/>
          <w:b/>
          <w:bCs/>
          <w:color w:val="000000"/>
          <w:u w:color="000000"/>
        </w:rPr>
        <w:t>The Issues</w:t>
      </w:r>
    </w:p>
    <w:p w14:paraId="4A638D8F"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 xml:space="preserve">In describing the </w:t>
      </w:r>
      <w:r>
        <w:rPr>
          <w:rFonts w:ascii="Helvetica" w:hAnsi="Helvetica" w:cs="Arial Unicode MS"/>
          <w:color w:val="000000"/>
          <w:u w:color="000000"/>
        </w:rPr>
        <w:t xml:space="preserve">issues between the </w:t>
      </w:r>
      <w:proofErr w:type="gramStart"/>
      <w:r>
        <w:rPr>
          <w:rFonts w:ascii="Helvetica" w:hAnsi="Helvetica" w:cs="Arial Unicode MS"/>
          <w:color w:val="000000"/>
          <w:u w:color="000000"/>
        </w:rPr>
        <w:t>parties</w:t>
      </w:r>
      <w:proofErr w:type="gramEnd"/>
      <w:r>
        <w:rPr>
          <w:rFonts w:ascii="Helvetica" w:hAnsi="Helvetica" w:cs="Arial Unicode MS"/>
          <w:color w:val="000000"/>
          <w:u w:color="000000"/>
        </w:rPr>
        <w:t xml:space="preserve"> it is convenient to first outline the Respondent</w:t>
      </w:r>
      <w:r>
        <w:rPr>
          <w:rFonts w:ascii="Helvetica" w:hAnsi="Helvetica" w:cs="Arial Unicode MS"/>
          <w:color w:val="000000"/>
          <w:u w:color="000000"/>
        </w:rPr>
        <w:t>’</w:t>
      </w:r>
      <w:r>
        <w:rPr>
          <w:rFonts w:ascii="Helvetica" w:hAnsi="Helvetica" w:cs="Arial Unicode MS"/>
          <w:color w:val="000000"/>
          <w:u w:color="000000"/>
        </w:rPr>
        <w:t>s position as described in its decision of the 21 March 2023, and as further explained in submissions made at the hearing before this Committee and in answer to the Committee</w:t>
      </w:r>
      <w:r>
        <w:rPr>
          <w:rFonts w:ascii="Helvetica" w:hAnsi="Helvetica" w:cs="Arial Unicode MS"/>
          <w:color w:val="000000"/>
          <w:u w:color="000000"/>
        </w:rPr>
        <w:t>’</w:t>
      </w:r>
      <w:r>
        <w:rPr>
          <w:rFonts w:ascii="Helvetica" w:hAnsi="Helvetica" w:cs="Arial Unicode MS"/>
          <w:color w:val="000000"/>
          <w:u w:color="000000"/>
        </w:rPr>
        <w:t>s que</w:t>
      </w:r>
      <w:r>
        <w:rPr>
          <w:rFonts w:ascii="Helvetica" w:hAnsi="Helvetica" w:cs="Arial Unicode MS"/>
          <w:color w:val="000000"/>
          <w:u w:color="000000"/>
        </w:rPr>
        <w:t xml:space="preserve">stions. </w:t>
      </w:r>
    </w:p>
    <w:p w14:paraId="683A7B9E" w14:textId="77777777" w:rsidR="00E66942" w:rsidRDefault="00E66942">
      <w:pPr>
        <w:spacing w:line="360" w:lineRule="auto"/>
        <w:rPr>
          <w:rFonts w:ascii="Helvetica" w:eastAsia="Helvetica" w:hAnsi="Helvetica" w:cs="Helvetica"/>
          <w:color w:val="000000"/>
          <w:u w:color="000000"/>
        </w:rPr>
      </w:pPr>
    </w:p>
    <w:p w14:paraId="26A53FFB" w14:textId="77777777" w:rsidR="00E66942" w:rsidRDefault="00117EE7">
      <w:pPr>
        <w:numPr>
          <w:ilvl w:val="0"/>
          <w:numId w:val="3"/>
        </w:numPr>
        <w:spacing w:line="360" w:lineRule="auto"/>
        <w:rPr>
          <w:rFonts w:ascii="Helvetica" w:hAnsi="Helvetica" w:cs="Arial Unicode MS"/>
          <w:color w:val="000000"/>
          <w:u w:color="000000"/>
        </w:rPr>
      </w:pPr>
      <w:r>
        <w:rPr>
          <w:rFonts w:ascii="Helvetica" w:hAnsi="Helvetica" w:cs="Arial Unicode MS"/>
          <w:color w:val="000000"/>
          <w:u w:color="000000"/>
        </w:rPr>
        <w:t>The following key points can be identified from the Respondent</w:t>
      </w:r>
      <w:r>
        <w:rPr>
          <w:rFonts w:ascii="Helvetica" w:hAnsi="Helvetica" w:cs="Arial Unicode MS"/>
          <w:color w:val="000000"/>
          <w:u w:color="000000"/>
        </w:rPr>
        <w:t>’</w:t>
      </w:r>
      <w:r>
        <w:rPr>
          <w:rFonts w:ascii="Helvetica" w:hAnsi="Helvetica" w:cs="Arial Unicode MS"/>
          <w:color w:val="000000"/>
          <w:u w:color="000000"/>
        </w:rPr>
        <w:t>s arguments:</w:t>
      </w:r>
    </w:p>
    <w:p w14:paraId="2C944305" w14:textId="77777777" w:rsidR="00E66942" w:rsidRDefault="00E66942">
      <w:pPr>
        <w:spacing w:line="360" w:lineRule="auto"/>
        <w:rPr>
          <w:rFonts w:ascii="Helvetica" w:eastAsia="Helvetica" w:hAnsi="Helvetica" w:cs="Helvetica"/>
          <w:color w:val="000000"/>
          <w:u w:color="000000"/>
        </w:rPr>
      </w:pPr>
    </w:p>
    <w:p w14:paraId="4EDBF18E" w14:textId="77777777" w:rsidR="00E66942" w:rsidRDefault="00117EE7">
      <w:pPr>
        <w:numPr>
          <w:ilvl w:val="0"/>
          <w:numId w:val="5"/>
        </w:numPr>
        <w:spacing w:line="360" w:lineRule="auto"/>
        <w:rPr>
          <w:rFonts w:ascii="Helvetica" w:hAnsi="Helvetica" w:cs="Arial Unicode MS"/>
          <w:color w:val="000000"/>
          <w:u w:color="000000"/>
        </w:rPr>
      </w:pPr>
      <w:r>
        <w:rPr>
          <w:rFonts w:ascii="Helvetica" w:hAnsi="Helvetica" w:cs="Arial Unicode MS"/>
          <w:color w:val="000000"/>
          <w:u w:color="000000"/>
        </w:rPr>
        <w:t>Upon receiving information which raised an issue regarding Player 1</w:t>
      </w:r>
      <w:r>
        <w:rPr>
          <w:rFonts w:ascii="Helvetica" w:hAnsi="Helvetica" w:cs="Arial Unicode MS"/>
          <w:color w:val="000000"/>
          <w:u w:color="000000"/>
        </w:rPr>
        <w:t>’</w:t>
      </w:r>
      <w:r>
        <w:rPr>
          <w:rFonts w:ascii="Helvetica" w:hAnsi="Helvetica" w:cs="Arial Unicode MS"/>
          <w:color w:val="000000"/>
          <w:u w:color="000000"/>
        </w:rPr>
        <w:t xml:space="preserve">s eligibility to participate in the quarter final match versus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the Respondent was entitled</w:t>
      </w:r>
      <w:r>
        <w:rPr>
          <w:rFonts w:ascii="Helvetica" w:hAnsi="Helvetica" w:cs="Arial Unicode MS"/>
          <w:color w:val="000000"/>
          <w:u w:color="000000"/>
        </w:rPr>
        <w:t xml:space="preserve"> to use the power provided by Rule 8.5(d) to </w:t>
      </w:r>
      <w:proofErr w:type="spellStart"/>
      <w:r>
        <w:rPr>
          <w:rFonts w:ascii="Helvetica" w:hAnsi="Helvetica" w:cs="Arial Unicode MS"/>
          <w:color w:val="000000"/>
          <w:u w:color="000000"/>
        </w:rPr>
        <w:t>scrutinise</w:t>
      </w:r>
      <w:proofErr w:type="spellEnd"/>
      <w:r>
        <w:rPr>
          <w:rFonts w:ascii="Helvetica" w:hAnsi="Helvetica" w:cs="Arial Unicode MS"/>
          <w:color w:val="000000"/>
          <w:u w:color="000000"/>
        </w:rPr>
        <w:t xml:space="preserve"> the match card and to assess the playing history of Player 1, even though the game had been played.</w:t>
      </w:r>
    </w:p>
    <w:p w14:paraId="66CEAD26" w14:textId="77777777" w:rsidR="00E66942" w:rsidRDefault="00E66942">
      <w:pPr>
        <w:spacing w:line="360" w:lineRule="auto"/>
        <w:rPr>
          <w:rFonts w:ascii="Helvetica" w:eastAsia="Helvetica" w:hAnsi="Helvetica" w:cs="Helvetica"/>
          <w:color w:val="000000"/>
          <w:u w:color="000000"/>
        </w:rPr>
      </w:pPr>
    </w:p>
    <w:p w14:paraId="21D57F78" w14:textId="77777777" w:rsidR="00E66942" w:rsidRDefault="00117EE7">
      <w:pPr>
        <w:numPr>
          <w:ilvl w:val="0"/>
          <w:numId w:val="5"/>
        </w:numPr>
        <w:spacing w:line="360" w:lineRule="auto"/>
        <w:rPr>
          <w:rFonts w:ascii="Helvetica" w:hAnsi="Helvetica" w:cs="Arial Unicode MS"/>
          <w:color w:val="000000"/>
          <w:u w:color="000000"/>
        </w:rPr>
      </w:pPr>
      <w:r>
        <w:rPr>
          <w:rFonts w:ascii="Helvetica" w:hAnsi="Helvetica" w:cs="Arial Unicode MS"/>
          <w:color w:val="000000"/>
          <w:u w:color="000000"/>
        </w:rPr>
        <w:t xml:space="preserve">Having assessed the playing history of Player 1 it was found that he was an ineligible player (for </w:t>
      </w:r>
      <w:r>
        <w:rPr>
          <w:rFonts w:ascii="Helvetica" w:hAnsi="Helvetica" w:cs="Arial Unicode MS"/>
          <w:color w:val="000000"/>
          <w:u w:color="000000"/>
        </w:rPr>
        <w:t xml:space="preserve">the purposes of that match) having played in the 9-a-side format at under 12 level before playing in the 11-a-side format at under 13 level against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xml:space="preserve">, and that this was clearly in breach of Rule 4B, even if it was considered that he was physically </w:t>
      </w:r>
      <w:r>
        <w:rPr>
          <w:rFonts w:ascii="Helvetica" w:hAnsi="Helvetica" w:cs="Arial Unicode MS"/>
          <w:color w:val="000000"/>
          <w:u w:color="000000"/>
        </w:rPr>
        <w:t xml:space="preserve">capable of meeting the demands of the older age group and format. </w:t>
      </w:r>
    </w:p>
    <w:p w14:paraId="1687F151" w14:textId="77777777" w:rsidR="00E66942" w:rsidRDefault="00E66942">
      <w:pPr>
        <w:spacing w:line="360" w:lineRule="auto"/>
        <w:rPr>
          <w:rFonts w:ascii="Helvetica" w:eastAsia="Helvetica" w:hAnsi="Helvetica" w:cs="Helvetica"/>
          <w:color w:val="000000"/>
          <w:u w:color="000000"/>
        </w:rPr>
      </w:pPr>
    </w:p>
    <w:p w14:paraId="78417847" w14:textId="77777777" w:rsidR="00E66942" w:rsidRDefault="00117EE7">
      <w:pPr>
        <w:numPr>
          <w:ilvl w:val="0"/>
          <w:numId w:val="5"/>
        </w:numPr>
        <w:spacing w:line="360" w:lineRule="auto"/>
        <w:rPr>
          <w:rFonts w:ascii="Helvetica" w:hAnsi="Helvetica" w:cs="Arial Unicode MS"/>
          <w:color w:val="000000"/>
          <w:u w:color="000000"/>
        </w:rPr>
      </w:pPr>
      <w:r>
        <w:rPr>
          <w:rFonts w:ascii="Helvetica" w:hAnsi="Helvetica" w:cs="Arial Unicode MS"/>
          <w:color w:val="000000"/>
          <w:u w:color="000000"/>
        </w:rPr>
        <w:t>Having identified a breach of Rule 4B, the Respondent was empowered to apply the sanction of expulsion from the competition, and that this was a proportionate sanction in the circumstances</w:t>
      </w:r>
      <w:r>
        <w:rPr>
          <w:rFonts w:ascii="Helvetica" w:hAnsi="Helvetica" w:cs="Arial Unicode MS"/>
          <w:color w:val="000000"/>
          <w:u w:color="000000"/>
        </w:rPr>
        <w:t xml:space="preserve">. </w:t>
      </w:r>
    </w:p>
    <w:p w14:paraId="02B0436B" w14:textId="77777777" w:rsidR="00E66942" w:rsidRDefault="00E66942">
      <w:pPr>
        <w:spacing w:line="360" w:lineRule="auto"/>
        <w:rPr>
          <w:rFonts w:ascii="Helvetica" w:eastAsia="Helvetica" w:hAnsi="Helvetica" w:cs="Helvetica"/>
          <w:color w:val="000000"/>
          <w:u w:color="000000"/>
        </w:rPr>
      </w:pPr>
    </w:p>
    <w:p w14:paraId="3F170AA8" w14:textId="77777777" w:rsidR="00E66942" w:rsidRDefault="00117EE7">
      <w:pPr>
        <w:numPr>
          <w:ilvl w:val="0"/>
          <w:numId w:val="6"/>
        </w:numPr>
        <w:spacing w:line="360" w:lineRule="auto"/>
        <w:rPr>
          <w:rFonts w:ascii="Helvetica" w:hAnsi="Helvetica" w:cs="Arial Unicode MS"/>
          <w:color w:val="000000"/>
          <w:u w:color="000000"/>
        </w:rPr>
      </w:pPr>
      <w:r>
        <w:rPr>
          <w:rFonts w:ascii="Helvetica" w:hAnsi="Helvetica" w:cs="Arial Unicode MS"/>
          <w:color w:val="000000"/>
          <w:u w:color="000000"/>
        </w:rPr>
        <w:t>In its submission setting out its grounds of appeal dated 23 March 2023, as elaborated upon at the appeal hearing, the Appellant disputed the approach of the Respondent. The following points were advanced:</w:t>
      </w:r>
    </w:p>
    <w:p w14:paraId="72009E01" w14:textId="77777777" w:rsidR="00E66942" w:rsidRDefault="00E66942">
      <w:pPr>
        <w:spacing w:line="360" w:lineRule="auto"/>
        <w:rPr>
          <w:rFonts w:ascii="Helvetica" w:eastAsia="Helvetica" w:hAnsi="Helvetica" w:cs="Helvetica"/>
          <w:color w:val="000000"/>
          <w:u w:color="000000"/>
        </w:rPr>
      </w:pPr>
    </w:p>
    <w:p w14:paraId="1CBA8E71" w14:textId="77777777" w:rsidR="00E66942" w:rsidRDefault="00117EE7">
      <w:pPr>
        <w:numPr>
          <w:ilvl w:val="0"/>
          <w:numId w:val="7"/>
        </w:numPr>
        <w:spacing w:line="360" w:lineRule="auto"/>
        <w:rPr>
          <w:rFonts w:ascii="Helvetica" w:hAnsi="Helvetica" w:cs="Arial Unicode MS"/>
          <w:color w:val="000000"/>
          <w:u w:color="000000"/>
        </w:rPr>
      </w:pPr>
      <w:r>
        <w:rPr>
          <w:rFonts w:ascii="Helvetica" w:hAnsi="Helvetica" w:cs="Arial Unicode MS"/>
          <w:color w:val="000000"/>
          <w:u w:color="000000"/>
        </w:rPr>
        <w:t>First, it was argued that Player 1 was eligib</w:t>
      </w:r>
      <w:r>
        <w:rPr>
          <w:rFonts w:ascii="Helvetica" w:hAnsi="Helvetica" w:cs="Arial Unicode MS"/>
          <w:color w:val="000000"/>
          <w:u w:color="000000"/>
        </w:rPr>
        <w:t xml:space="preserve">le to play in the quarter final match versus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xml:space="preserve">. It was not disputed that Player 1 had played in the 9-a-side format before playing against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xml:space="preserve"> at the older age group in the 11-a-side format, but it was contended that this was permissible with</w:t>
      </w:r>
      <w:r>
        <w:rPr>
          <w:rFonts w:ascii="Helvetica" w:hAnsi="Helvetica" w:cs="Arial Unicode MS"/>
          <w:color w:val="000000"/>
          <w:u w:color="000000"/>
        </w:rPr>
        <w:t>in the meaning of the Rule if the player was assessed as being physically capable of playing. The Appellant contended that Player 1 had been so assessed.</w:t>
      </w:r>
    </w:p>
    <w:p w14:paraId="3BF7451D" w14:textId="77777777" w:rsidR="00E66942" w:rsidRDefault="00E66942">
      <w:pPr>
        <w:spacing w:line="360" w:lineRule="auto"/>
        <w:rPr>
          <w:rFonts w:ascii="Helvetica" w:eastAsia="Helvetica" w:hAnsi="Helvetica" w:cs="Helvetica"/>
          <w:color w:val="000000"/>
          <w:u w:color="000000"/>
        </w:rPr>
      </w:pPr>
    </w:p>
    <w:p w14:paraId="18234EFE" w14:textId="77777777" w:rsidR="00E66942" w:rsidRDefault="00117EE7">
      <w:pPr>
        <w:numPr>
          <w:ilvl w:val="0"/>
          <w:numId w:val="5"/>
        </w:numPr>
        <w:spacing w:line="360" w:lineRule="auto"/>
        <w:rPr>
          <w:rFonts w:ascii="Helvetica" w:hAnsi="Helvetica" w:cs="Arial Unicode MS"/>
          <w:color w:val="000000"/>
          <w:u w:color="000000"/>
        </w:rPr>
      </w:pPr>
      <w:r>
        <w:rPr>
          <w:rFonts w:ascii="Helvetica" w:hAnsi="Helvetica" w:cs="Arial Unicode MS"/>
          <w:color w:val="000000"/>
          <w:u w:color="000000"/>
        </w:rPr>
        <w:t xml:space="preserve">In the alternative, the Appellant argued that Rule 8.3 provides that any concern about the eligibility of Player 1 should not have been investigated and adjudicated upon by the Respondent after the match had been played, and where no </w:t>
      </w:r>
      <w:proofErr w:type="gramStart"/>
      <w:r>
        <w:rPr>
          <w:rFonts w:ascii="Helvetica" w:hAnsi="Helvetica" w:cs="Arial Unicode MS"/>
          <w:color w:val="000000"/>
          <w:u w:color="000000"/>
        </w:rPr>
        <w:t>protest against</w:t>
      </w:r>
      <w:proofErr w:type="gramEnd"/>
      <w:r>
        <w:rPr>
          <w:rFonts w:ascii="Helvetica" w:hAnsi="Helvetica" w:cs="Arial Unicode MS"/>
          <w:color w:val="000000"/>
          <w:u w:color="000000"/>
        </w:rPr>
        <w:t xml:space="preserve"> the el</w:t>
      </w:r>
      <w:r>
        <w:rPr>
          <w:rFonts w:ascii="Helvetica" w:hAnsi="Helvetica" w:cs="Arial Unicode MS"/>
          <w:color w:val="000000"/>
          <w:u w:color="000000"/>
        </w:rPr>
        <w:t>igibility of the player had been made to the referee in writing prior to kick off. In support of this argument the Respondent referred to the fact that when they raised a challenge with the Respondent concerning the eligibility of a Maiden City player foll</w:t>
      </w:r>
      <w:r>
        <w:rPr>
          <w:rFonts w:ascii="Helvetica" w:hAnsi="Helvetica" w:cs="Arial Unicode MS"/>
          <w:color w:val="000000"/>
          <w:u w:color="000000"/>
        </w:rPr>
        <w:t xml:space="preserve">owing a league fixture earlier in the season, they were advised by </w:t>
      </w:r>
      <w:proofErr w:type="spellStart"/>
      <w:r>
        <w:rPr>
          <w:rFonts w:ascii="Helvetica" w:hAnsi="Helvetica" w:cs="Arial Unicode MS"/>
          <w:color w:val="000000"/>
          <w:u w:color="000000"/>
        </w:rPr>
        <w:t>Mr</w:t>
      </w:r>
      <w:proofErr w:type="spellEnd"/>
      <w:r>
        <w:rPr>
          <w:rFonts w:ascii="Helvetica" w:hAnsi="Helvetica" w:cs="Arial Unicode MS"/>
          <w:color w:val="000000"/>
          <w:u w:color="000000"/>
        </w:rPr>
        <w:t xml:space="preserve"> McKee (apparently interpreting a similarly worded rule) that the </w:t>
      </w:r>
      <w:r>
        <w:rPr>
          <w:rFonts w:ascii="Helvetica" w:hAnsi="Helvetica" w:cs="Arial Unicode MS"/>
          <w:color w:val="000000"/>
          <w:u w:color="000000"/>
        </w:rPr>
        <w:t>“</w:t>
      </w:r>
      <w:r>
        <w:rPr>
          <w:rFonts w:ascii="Helvetica" w:hAnsi="Helvetica" w:cs="Arial Unicode MS"/>
          <w:color w:val="000000"/>
          <w:u w:color="000000"/>
        </w:rPr>
        <w:t>stumbling block to] getting [the result] reversed</w:t>
      </w:r>
      <w:r>
        <w:rPr>
          <w:rFonts w:ascii="Helvetica" w:hAnsi="Helvetica" w:cs="Arial Unicode MS"/>
          <w:color w:val="000000"/>
          <w:u w:color="000000"/>
        </w:rPr>
        <w:t xml:space="preserve">” </w:t>
      </w:r>
      <w:r>
        <w:rPr>
          <w:rFonts w:ascii="Helvetica" w:hAnsi="Helvetica" w:cs="Arial Unicode MS"/>
          <w:color w:val="000000"/>
          <w:u w:color="000000"/>
        </w:rPr>
        <w:t xml:space="preserve">will be </w:t>
      </w:r>
      <w:r>
        <w:rPr>
          <w:rFonts w:ascii="Helvetica" w:hAnsi="Helvetica" w:cs="Arial Unicode MS"/>
          <w:color w:val="000000"/>
          <w:u w:color="000000"/>
        </w:rPr>
        <w:t>“</w:t>
      </w:r>
      <w:r>
        <w:rPr>
          <w:rFonts w:ascii="Helvetica" w:hAnsi="Helvetica" w:cs="Arial Unicode MS"/>
          <w:color w:val="000000"/>
          <w:u w:color="000000"/>
        </w:rPr>
        <w:t xml:space="preserve">that the panel will refer to </w:t>
      </w:r>
      <w:proofErr w:type="spellStart"/>
      <w:r>
        <w:rPr>
          <w:rFonts w:ascii="Helvetica" w:hAnsi="Helvetica" w:cs="Arial Unicode MS"/>
          <w:color w:val="000000"/>
          <w:u w:color="000000"/>
        </w:rPr>
        <w:t>thee</w:t>
      </w:r>
      <w:proofErr w:type="spellEnd"/>
      <w:r>
        <w:rPr>
          <w:rFonts w:ascii="Helvetica" w:hAnsi="Helvetica" w:cs="Arial Unicode MS"/>
          <w:color w:val="000000"/>
          <w:u w:color="000000"/>
        </w:rPr>
        <w:t xml:space="preserve"> rules if the game has been</w:t>
      </w:r>
      <w:r>
        <w:rPr>
          <w:rFonts w:ascii="Helvetica" w:hAnsi="Helvetica" w:cs="Arial Unicode MS"/>
          <w:color w:val="000000"/>
          <w:u w:color="000000"/>
        </w:rPr>
        <w:t xml:space="preserve"> played.</w:t>
      </w:r>
      <w:r>
        <w:rPr>
          <w:rFonts w:ascii="Helvetica" w:hAnsi="Helvetica" w:cs="Arial Unicode MS"/>
          <w:color w:val="000000"/>
          <w:u w:color="000000"/>
        </w:rPr>
        <w:t xml:space="preserve">” </w:t>
      </w:r>
      <w:r>
        <w:rPr>
          <w:rFonts w:ascii="Helvetica" w:hAnsi="Helvetica" w:cs="Arial Unicode MS"/>
          <w:color w:val="000000"/>
          <w:u w:color="000000"/>
        </w:rPr>
        <w:t xml:space="preserve">Accordingly, the Appellant contended that the Respondent should be obliged to take a consistent approach and refuse to entertain complaints if they are made after the match had been completed.  </w:t>
      </w:r>
    </w:p>
    <w:p w14:paraId="1D9A1781" w14:textId="77777777" w:rsidR="00E66942" w:rsidRDefault="00E66942">
      <w:pPr>
        <w:spacing w:line="360" w:lineRule="auto"/>
        <w:rPr>
          <w:rFonts w:ascii="Helvetica" w:eastAsia="Helvetica" w:hAnsi="Helvetica" w:cs="Helvetica"/>
          <w:color w:val="000000"/>
          <w:u w:color="000000"/>
        </w:rPr>
      </w:pPr>
    </w:p>
    <w:p w14:paraId="3B84704D" w14:textId="77777777" w:rsidR="00E66942" w:rsidRDefault="00117EE7">
      <w:pPr>
        <w:numPr>
          <w:ilvl w:val="0"/>
          <w:numId w:val="5"/>
        </w:numPr>
        <w:spacing w:line="360" w:lineRule="auto"/>
        <w:rPr>
          <w:rFonts w:ascii="Helvetica" w:hAnsi="Helvetica" w:cs="Arial Unicode MS"/>
          <w:color w:val="000000"/>
          <w:u w:color="000000"/>
        </w:rPr>
      </w:pPr>
      <w:r>
        <w:rPr>
          <w:rFonts w:ascii="Helvetica" w:hAnsi="Helvetica" w:cs="Arial Unicode MS"/>
          <w:color w:val="000000"/>
          <w:u w:color="000000"/>
        </w:rPr>
        <w:t>The Appellant also contended that even if their pr</w:t>
      </w:r>
      <w:r>
        <w:rPr>
          <w:rFonts w:ascii="Helvetica" w:hAnsi="Helvetica" w:cs="Arial Unicode MS"/>
          <w:color w:val="000000"/>
          <w:u w:color="000000"/>
        </w:rPr>
        <w:t xml:space="preserve">imary arguments were rejected the sanction of excluding the club from the competition should be regarded by the Committee as a disproportionate action as the selection of Player 1 could not be </w:t>
      </w:r>
      <w:proofErr w:type="spellStart"/>
      <w:r>
        <w:rPr>
          <w:rFonts w:ascii="Helvetica" w:hAnsi="Helvetica" w:cs="Arial Unicode MS"/>
          <w:color w:val="000000"/>
          <w:u w:color="000000"/>
        </w:rPr>
        <w:t>categorised</w:t>
      </w:r>
      <w:proofErr w:type="spellEnd"/>
      <w:r>
        <w:rPr>
          <w:rFonts w:ascii="Helvetica" w:hAnsi="Helvetica" w:cs="Arial Unicode MS"/>
          <w:color w:val="000000"/>
          <w:u w:color="000000"/>
        </w:rPr>
        <w:t xml:space="preserve"> as a </w:t>
      </w:r>
      <w:r>
        <w:rPr>
          <w:rFonts w:ascii="Helvetica" w:hAnsi="Helvetica" w:cs="Arial Unicode MS"/>
          <w:color w:val="000000"/>
          <w:u w:color="000000"/>
        </w:rPr>
        <w:t>“</w:t>
      </w:r>
      <w:r>
        <w:rPr>
          <w:rFonts w:ascii="Helvetica" w:hAnsi="Helvetica" w:cs="Arial Unicode MS"/>
          <w:color w:val="000000"/>
          <w:u w:color="000000"/>
        </w:rPr>
        <w:t>serious disciplinary infringement."</w:t>
      </w:r>
    </w:p>
    <w:p w14:paraId="62D51BE7" w14:textId="77777777" w:rsidR="00E66942" w:rsidRDefault="00E66942">
      <w:pPr>
        <w:spacing w:line="360" w:lineRule="auto"/>
        <w:rPr>
          <w:rFonts w:ascii="Helvetica" w:eastAsia="Helvetica" w:hAnsi="Helvetica" w:cs="Helvetica"/>
          <w:color w:val="000000"/>
          <w:u w:color="000000"/>
        </w:rPr>
      </w:pPr>
    </w:p>
    <w:p w14:paraId="249C5645" w14:textId="77777777" w:rsidR="00E66942" w:rsidRDefault="00117EE7">
      <w:pPr>
        <w:spacing w:line="360" w:lineRule="auto"/>
        <w:rPr>
          <w:rFonts w:ascii="Helvetica" w:eastAsia="Helvetica" w:hAnsi="Helvetica" w:cs="Helvetica"/>
          <w:b/>
          <w:bCs/>
          <w:color w:val="000000"/>
          <w:u w:color="000000"/>
        </w:rPr>
      </w:pPr>
      <w:r>
        <w:rPr>
          <w:rFonts w:ascii="Helvetica" w:hAnsi="Helvetica" w:cs="Arial Unicode MS"/>
          <w:b/>
          <w:bCs/>
          <w:color w:val="000000"/>
          <w:u w:color="000000"/>
        </w:rPr>
        <w:t>Decision and Reasons</w:t>
      </w:r>
    </w:p>
    <w:p w14:paraId="1CA65761" w14:textId="77777777" w:rsidR="00E66942" w:rsidRDefault="00117EE7">
      <w:pPr>
        <w:numPr>
          <w:ilvl w:val="0"/>
          <w:numId w:val="8"/>
        </w:numPr>
        <w:spacing w:line="360" w:lineRule="auto"/>
        <w:rPr>
          <w:rFonts w:ascii="Helvetica" w:hAnsi="Helvetica" w:cs="Arial Unicode MS"/>
          <w:color w:val="000000"/>
          <w:u w:color="000000"/>
        </w:rPr>
      </w:pPr>
      <w:r>
        <w:rPr>
          <w:rFonts w:ascii="Helvetica" w:hAnsi="Helvetica" w:cs="Arial Unicode MS"/>
          <w:color w:val="000000"/>
          <w:u w:color="000000"/>
        </w:rPr>
        <w:t xml:space="preserve">After considering the submissions of both parties, the Committee was satisfied that the Appellant fielded an ineligible player in breach of Rule 4B. It was clear to the Committee that this Rule expressly provides that a player who has </w:t>
      </w:r>
      <w:r>
        <w:rPr>
          <w:rFonts w:ascii="Helvetica" w:hAnsi="Helvetica" w:cs="Arial Unicode MS"/>
          <w:color w:val="000000"/>
          <w:u w:color="000000"/>
        </w:rPr>
        <w:t xml:space="preserve">played in the </w:t>
      </w:r>
      <w:proofErr w:type="gramStart"/>
      <w:r>
        <w:rPr>
          <w:rFonts w:ascii="Helvetica" w:hAnsi="Helvetica" w:cs="Arial Unicode MS"/>
          <w:color w:val="000000"/>
          <w:u w:color="000000"/>
        </w:rPr>
        <w:t>9 player</w:t>
      </w:r>
      <w:proofErr w:type="gramEnd"/>
      <w:r>
        <w:rPr>
          <w:rFonts w:ascii="Helvetica" w:hAnsi="Helvetica" w:cs="Arial Unicode MS"/>
          <w:color w:val="000000"/>
          <w:u w:color="000000"/>
        </w:rPr>
        <w:t xml:space="preserve"> format cannot then play in the 11 player format, and vice versa. Player 1 had played several matches in the </w:t>
      </w:r>
      <w:proofErr w:type="gramStart"/>
      <w:r>
        <w:rPr>
          <w:rFonts w:ascii="Helvetica" w:hAnsi="Helvetica" w:cs="Arial Unicode MS"/>
          <w:color w:val="000000"/>
          <w:u w:color="000000"/>
        </w:rPr>
        <w:t>9 player</w:t>
      </w:r>
      <w:proofErr w:type="gramEnd"/>
      <w:r>
        <w:rPr>
          <w:rFonts w:ascii="Helvetica" w:hAnsi="Helvetica" w:cs="Arial Unicode MS"/>
          <w:color w:val="000000"/>
          <w:u w:color="000000"/>
        </w:rPr>
        <w:t xml:space="preserve"> format at under 12 level before playing at under 13 level against Warrenpoint and then against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xml:space="preserve"> in 11 playe</w:t>
      </w:r>
      <w:r>
        <w:rPr>
          <w:rFonts w:ascii="Helvetica" w:hAnsi="Helvetica" w:cs="Arial Unicode MS"/>
          <w:color w:val="000000"/>
          <w:u w:color="000000"/>
        </w:rPr>
        <w:t xml:space="preserve">r matches. This is explicitly prohibited by the rule, and Player 1 was ineligible to play in the quarter final match on the 25 February 2023 and should not have been selected. </w:t>
      </w:r>
    </w:p>
    <w:p w14:paraId="3472F490" w14:textId="77777777" w:rsidR="00E66942" w:rsidRDefault="00E66942">
      <w:pPr>
        <w:spacing w:line="360" w:lineRule="auto"/>
        <w:rPr>
          <w:rFonts w:ascii="Helvetica" w:eastAsia="Helvetica" w:hAnsi="Helvetica" w:cs="Helvetica"/>
          <w:color w:val="000000"/>
          <w:u w:color="000000"/>
        </w:rPr>
      </w:pPr>
    </w:p>
    <w:p w14:paraId="391D075D" w14:textId="77777777" w:rsidR="00E66942" w:rsidRDefault="00117EE7">
      <w:pPr>
        <w:numPr>
          <w:ilvl w:val="0"/>
          <w:numId w:val="8"/>
        </w:numPr>
        <w:spacing w:line="360" w:lineRule="auto"/>
        <w:rPr>
          <w:rFonts w:ascii="Helvetica" w:hAnsi="Helvetica" w:cs="Arial Unicode MS"/>
          <w:color w:val="000000"/>
          <w:u w:color="000000"/>
        </w:rPr>
      </w:pPr>
      <w:r>
        <w:rPr>
          <w:rFonts w:ascii="Helvetica" w:hAnsi="Helvetica" w:cs="Arial Unicode MS"/>
          <w:color w:val="000000"/>
          <w:u w:color="000000"/>
        </w:rPr>
        <w:t>The Committee considered the Appellant</w:t>
      </w:r>
      <w:r>
        <w:rPr>
          <w:rFonts w:ascii="Helvetica" w:hAnsi="Helvetica" w:cs="Arial Unicode MS"/>
          <w:color w:val="000000"/>
          <w:u w:color="000000"/>
        </w:rPr>
        <w:t>’</w:t>
      </w:r>
      <w:r>
        <w:rPr>
          <w:rFonts w:ascii="Helvetica" w:hAnsi="Helvetica" w:cs="Arial Unicode MS"/>
          <w:color w:val="000000"/>
          <w:u w:color="000000"/>
        </w:rPr>
        <w:t xml:space="preserve">s submission that it was </w:t>
      </w:r>
      <w:r>
        <w:rPr>
          <w:rFonts w:ascii="Helvetica" w:hAnsi="Helvetica" w:cs="Arial Unicode MS"/>
          <w:color w:val="000000"/>
          <w:u w:color="000000"/>
        </w:rPr>
        <w:t>permissible to play in both 9-a-side and 11-a-side games if a coach and/or parent considers the player to be physically capable of doing so. The Committee found that this submission was not supported by the language of the Rule. The reference in Rule 4B to</w:t>
      </w:r>
      <w:r>
        <w:rPr>
          <w:rFonts w:ascii="Helvetica" w:hAnsi="Helvetica" w:cs="Arial Unicode MS"/>
          <w:color w:val="000000"/>
          <w:u w:color="000000"/>
        </w:rPr>
        <w:t xml:space="preserve"> the need to assess the player</w:t>
      </w:r>
      <w:r>
        <w:rPr>
          <w:rFonts w:ascii="Helvetica" w:hAnsi="Helvetica" w:cs="Arial Unicode MS"/>
          <w:color w:val="000000"/>
          <w:u w:color="000000"/>
        </w:rPr>
        <w:t>’</w:t>
      </w:r>
      <w:r>
        <w:rPr>
          <w:rFonts w:ascii="Helvetica" w:hAnsi="Helvetica" w:cs="Arial Unicode MS"/>
          <w:color w:val="000000"/>
          <w:u w:color="000000"/>
        </w:rPr>
        <w:t xml:space="preserve">s physical capacity is clearly directed to ensuring his/her safety or welfare when playing </w:t>
      </w:r>
      <w:proofErr w:type="gramStart"/>
      <w:r>
        <w:rPr>
          <w:rFonts w:ascii="Helvetica" w:hAnsi="Helvetica" w:cs="Arial Unicode MS"/>
          <w:color w:val="000000"/>
          <w:u w:color="000000"/>
        </w:rPr>
        <w:t>at</w:t>
      </w:r>
      <w:proofErr w:type="gramEnd"/>
      <w:r>
        <w:rPr>
          <w:rFonts w:ascii="Helvetica" w:hAnsi="Helvetica" w:cs="Arial Unicode MS"/>
          <w:color w:val="000000"/>
          <w:u w:color="000000"/>
        </w:rPr>
        <w:t xml:space="preserve"> an older age group. The Rule does not provide a club with the freedom to select a player to play for an 11-a-side team in an older </w:t>
      </w:r>
      <w:r>
        <w:rPr>
          <w:rFonts w:ascii="Helvetica" w:hAnsi="Helvetica" w:cs="Arial Unicode MS"/>
          <w:color w:val="000000"/>
          <w:u w:color="000000"/>
        </w:rPr>
        <w:t>age group if he has already played for a younger team in the 9-a-side format, regardless of his physical capacity to do so.</w:t>
      </w:r>
    </w:p>
    <w:p w14:paraId="29B04677" w14:textId="77777777" w:rsidR="00E66942" w:rsidRDefault="00E66942">
      <w:pPr>
        <w:spacing w:line="360" w:lineRule="auto"/>
        <w:rPr>
          <w:rFonts w:ascii="Helvetica" w:eastAsia="Helvetica" w:hAnsi="Helvetica" w:cs="Helvetica"/>
          <w:color w:val="000000"/>
          <w:u w:color="000000"/>
        </w:rPr>
      </w:pPr>
    </w:p>
    <w:p w14:paraId="6A8C083D" w14:textId="77777777" w:rsidR="00E66942" w:rsidRDefault="00117EE7">
      <w:pPr>
        <w:numPr>
          <w:ilvl w:val="0"/>
          <w:numId w:val="8"/>
        </w:numPr>
        <w:spacing w:line="360" w:lineRule="auto"/>
        <w:rPr>
          <w:rFonts w:ascii="Helvetica" w:hAnsi="Helvetica" w:cs="Arial Unicode MS"/>
          <w:color w:val="000000"/>
          <w:u w:color="000000"/>
        </w:rPr>
      </w:pPr>
      <w:r>
        <w:rPr>
          <w:rFonts w:ascii="Helvetica" w:hAnsi="Helvetica" w:cs="Arial Unicode MS"/>
          <w:color w:val="000000"/>
          <w:u w:color="000000"/>
        </w:rPr>
        <w:t xml:space="preserve">The Committee was satisfied that the Respondent was entitled to apply Rule 8.5 to </w:t>
      </w:r>
      <w:proofErr w:type="spellStart"/>
      <w:r>
        <w:rPr>
          <w:rFonts w:ascii="Helvetica" w:hAnsi="Helvetica" w:cs="Arial Unicode MS"/>
          <w:color w:val="000000"/>
          <w:u w:color="000000"/>
        </w:rPr>
        <w:t>scrutinise</w:t>
      </w:r>
      <w:proofErr w:type="spellEnd"/>
      <w:r>
        <w:rPr>
          <w:rFonts w:ascii="Helvetica" w:hAnsi="Helvetica" w:cs="Arial Unicode MS"/>
          <w:color w:val="000000"/>
          <w:u w:color="000000"/>
        </w:rPr>
        <w:t xml:space="preserve"> the match card and thereafter investig</w:t>
      </w:r>
      <w:r>
        <w:rPr>
          <w:rFonts w:ascii="Helvetica" w:hAnsi="Helvetica" w:cs="Arial Unicode MS"/>
          <w:color w:val="000000"/>
          <w:u w:color="000000"/>
        </w:rPr>
        <w:t xml:space="preserve">ate the eligibility of Player 1 notwithstanding that the fixture with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xml:space="preserve"> had been completed. In rejecting the Appellant</w:t>
      </w:r>
      <w:r>
        <w:rPr>
          <w:rFonts w:ascii="Helvetica" w:hAnsi="Helvetica" w:cs="Arial Unicode MS"/>
          <w:color w:val="000000"/>
          <w:u w:color="000000"/>
        </w:rPr>
        <w:t>’</w:t>
      </w:r>
      <w:r>
        <w:rPr>
          <w:rFonts w:ascii="Helvetica" w:hAnsi="Helvetica" w:cs="Arial Unicode MS"/>
          <w:color w:val="000000"/>
          <w:u w:color="000000"/>
        </w:rPr>
        <w:t xml:space="preserve">s </w:t>
      </w:r>
      <w:proofErr w:type="gramStart"/>
      <w:r>
        <w:rPr>
          <w:rFonts w:ascii="Helvetica" w:hAnsi="Helvetica" w:cs="Arial Unicode MS"/>
          <w:color w:val="000000"/>
          <w:u w:color="000000"/>
        </w:rPr>
        <w:t>submission</w:t>
      </w:r>
      <w:proofErr w:type="gramEnd"/>
      <w:r>
        <w:rPr>
          <w:rFonts w:ascii="Helvetica" w:hAnsi="Helvetica" w:cs="Arial Unicode MS"/>
          <w:color w:val="000000"/>
          <w:u w:color="000000"/>
        </w:rPr>
        <w:t xml:space="preserve"> the Committee found that it would be highly unusual if such a post-match investigation could not be taken forward. I</w:t>
      </w:r>
      <w:r>
        <w:rPr>
          <w:rFonts w:ascii="Helvetica" w:hAnsi="Helvetica" w:cs="Arial Unicode MS"/>
          <w:color w:val="000000"/>
          <w:u w:color="000000"/>
        </w:rPr>
        <w:t xml:space="preserve">t acknowledged that on many occasions it will simply not be possible to be satisfied </w:t>
      </w:r>
      <w:proofErr w:type="gramStart"/>
      <w:r>
        <w:rPr>
          <w:rFonts w:ascii="Helvetica" w:hAnsi="Helvetica" w:cs="Arial Unicode MS"/>
          <w:color w:val="000000"/>
          <w:u w:color="000000"/>
        </w:rPr>
        <w:t>of</w:t>
      </w:r>
      <w:proofErr w:type="gramEnd"/>
      <w:r>
        <w:rPr>
          <w:rFonts w:ascii="Helvetica" w:hAnsi="Helvetica" w:cs="Arial Unicode MS"/>
          <w:color w:val="000000"/>
          <w:u w:color="000000"/>
        </w:rPr>
        <w:t xml:space="preserve"> a particular player</w:t>
      </w:r>
      <w:r>
        <w:rPr>
          <w:rFonts w:ascii="Helvetica" w:hAnsi="Helvetica" w:cs="Arial Unicode MS"/>
          <w:color w:val="000000"/>
          <w:u w:color="000000"/>
        </w:rPr>
        <w:t>’</w:t>
      </w:r>
      <w:r>
        <w:rPr>
          <w:rFonts w:ascii="Helvetica" w:hAnsi="Helvetica" w:cs="Arial Unicode MS"/>
          <w:color w:val="000000"/>
          <w:u w:color="000000"/>
        </w:rPr>
        <w:t>s eligibility before a game is played. The Committee found that the position contended for by the Appellant by reference to its interpretation of Ru</w:t>
      </w:r>
      <w:r>
        <w:rPr>
          <w:rFonts w:ascii="Helvetica" w:hAnsi="Helvetica" w:cs="Arial Unicode MS"/>
          <w:color w:val="000000"/>
          <w:u w:color="000000"/>
        </w:rPr>
        <w:t xml:space="preserve">le 8.3 would, if applied, have the effect of placing the integrity of sporting competition at risk by preventing abuses of eligibility rules from being sanctioned if they are only discovered after a match has been played.  </w:t>
      </w:r>
    </w:p>
    <w:p w14:paraId="1924F12B" w14:textId="77777777" w:rsidR="00E66942" w:rsidRDefault="00E66942">
      <w:pPr>
        <w:spacing w:line="360" w:lineRule="auto"/>
        <w:rPr>
          <w:rFonts w:ascii="Helvetica" w:eastAsia="Helvetica" w:hAnsi="Helvetica" w:cs="Helvetica"/>
          <w:color w:val="000000"/>
          <w:u w:color="000000"/>
        </w:rPr>
      </w:pPr>
    </w:p>
    <w:p w14:paraId="3944AC67" w14:textId="77777777" w:rsidR="00E66942" w:rsidRDefault="00117EE7">
      <w:pPr>
        <w:numPr>
          <w:ilvl w:val="0"/>
          <w:numId w:val="8"/>
        </w:numPr>
        <w:spacing w:line="360" w:lineRule="auto"/>
        <w:rPr>
          <w:rFonts w:ascii="Helvetica" w:hAnsi="Helvetica" w:cs="Arial Unicode MS"/>
          <w:color w:val="000000"/>
          <w:u w:color="000000"/>
        </w:rPr>
      </w:pPr>
      <w:r>
        <w:rPr>
          <w:rFonts w:ascii="Helvetica" w:hAnsi="Helvetica" w:cs="Arial Unicode MS"/>
          <w:color w:val="000000"/>
          <w:u w:color="000000"/>
        </w:rPr>
        <w:t>Accordingly, the Committee foun</w:t>
      </w:r>
      <w:r>
        <w:rPr>
          <w:rFonts w:ascii="Helvetica" w:hAnsi="Helvetica" w:cs="Arial Unicode MS"/>
          <w:color w:val="000000"/>
          <w:u w:color="000000"/>
        </w:rPr>
        <w:t>d that the Rules do not prevent the Respondent from investigating player eligibility if information comes to its attention after a game has been played. In this case the Committee considers that the integrity of the competition demanded such an investigati</w:t>
      </w:r>
      <w:r>
        <w:rPr>
          <w:rFonts w:ascii="Helvetica" w:hAnsi="Helvetica" w:cs="Arial Unicode MS"/>
          <w:color w:val="000000"/>
          <w:u w:color="000000"/>
        </w:rPr>
        <w:t>on, and that following the investigation the concern about the eligibility of Player 1 was vindicated. The Committee found Rule 8.3 to be confusing in its drafting, but it was nevertheless satisfied that whatever its precise meaning it does not prevent the</w:t>
      </w:r>
      <w:r>
        <w:rPr>
          <w:rFonts w:ascii="Helvetica" w:hAnsi="Helvetica" w:cs="Arial Unicode MS"/>
          <w:color w:val="000000"/>
          <w:u w:color="000000"/>
        </w:rPr>
        <w:t xml:space="preserve"> NIBFA from investigating player eligibility issues, and if appropriate, to apply a sanction after a match has been played.</w:t>
      </w:r>
    </w:p>
    <w:p w14:paraId="1A96C496" w14:textId="77777777" w:rsidR="00E66942" w:rsidRDefault="00E66942">
      <w:pPr>
        <w:spacing w:line="360" w:lineRule="auto"/>
        <w:rPr>
          <w:rFonts w:ascii="Helvetica" w:eastAsia="Helvetica" w:hAnsi="Helvetica" w:cs="Helvetica"/>
          <w:color w:val="000000"/>
          <w:u w:color="000000"/>
        </w:rPr>
      </w:pPr>
    </w:p>
    <w:p w14:paraId="250067D0" w14:textId="77777777" w:rsidR="00E66942" w:rsidRDefault="00117EE7">
      <w:pPr>
        <w:numPr>
          <w:ilvl w:val="0"/>
          <w:numId w:val="8"/>
        </w:numPr>
        <w:spacing w:line="360" w:lineRule="auto"/>
        <w:rPr>
          <w:rFonts w:ascii="Helvetica" w:hAnsi="Helvetica" w:cs="Arial Unicode MS"/>
          <w:color w:val="000000"/>
          <w:u w:color="000000"/>
        </w:rPr>
      </w:pPr>
      <w:r>
        <w:rPr>
          <w:rFonts w:ascii="Helvetica" w:hAnsi="Helvetica" w:cs="Arial Unicode MS"/>
          <w:color w:val="000000"/>
          <w:u w:color="000000"/>
        </w:rPr>
        <w:t>The material presented to the Committee by the Appellant strongly suggested that when they raised a query regarding the eligibility</w:t>
      </w:r>
      <w:r>
        <w:rPr>
          <w:rFonts w:ascii="Helvetica" w:hAnsi="Helvetica" w:cs="Arial Unicode MS"/>
          <w:color w:val="000000"/>
          <w:u w:color="000000"/>
        </w:rPr>
        <w:t xml:space="preserve"> of a Maiden City player earlier in the season, they were met with the advice that nothing could be done about it since the match had concluded. It would appear that based on that advice, the Respondent did not then advance a formal complaint. Plainly, it </w:t>
      </w:r>
      <w:r>
        <w:rPr>
          <w:rFonts w:ascii="Helvetica" w:hAnsi="Helvetica" w:cs="Arial Unicode MS"/>
          <w:color w:val="000000"/>
          <w:u w:color="000000"/>
        </w:rPr>
        <w:t>was not possible for the Committee to investigate the full circumstances of that matter, and the treatment of the Respondent in that case does not assist our analysis here. However, it would be a regrettable state of affairs if the same or similar rules ar</w:t>
      </w:r>
      <w:r>
        <w:rPr>
          <w:rFonts w:ascii="Helvetica" w:hAnsi="Helvetica" w:cs="Arial Unicode MS"/>
          <w:color w:val="000000"/>
          <w:u w:color="000000"/>
        </w:rPr>
        <w:t>e the subject of inconsistent interpretations. Administrators should strive to apply competition rules in a consistent fashion, even if they are not bound by a strict doctrine of precedent. To do otherwise would be to encourage allegations of bias and unfa</w:t>
      </w:r>
      <w:r>
        <w:rPr>
          <w:rFonts w:ascii="Helvetica" w:hAnsi="Helvetica" w:cs="Arial Unicode MS"/>
          <w:color w:val="000000"/>
          <w:u w:color="000000"/>
        </w:rPr>
        <w:t>irness and would risk undermining the principles contained within the overriding objective.</w:t>
      </w:r>
    </w:p>
    <w:p w14:paraId="1B9B6EAE" w14:textId="77777777" w:rsidR="00E66942" w:rsidRDefault="00E66942">
      <w:pPr>
        <w:spacing w:line="360" w:lineRule="auto"/>
        <w:rPr>
          <w:rFonts w:ascii="Helvetica" w:eastAsia="Helvetica" w:hAnsi="Helvetica" w:cs="Helvetica"/>
          <w:color w:val="000000"/>
          <w:u w:color="000000"/>
        </w:rPr>
      </w:pPr>
    </w:p>
    <w:p w14:paraId="34F1D411" w14:textId="77777777" w:rsidR="00E66942" w:rsidRDefault="00117EE7">
      <w:pPr>
        <w:numPr>
          <w:ilvl w:val="0"/>
          <w:numId w:val="8"/>
        </w:numPr>
        <w:spacing w:line="360" w:lineRule="auto"/>
        <w:rPr>
          <w:rFonts w:ascii="Helvetica" w:hAnsi="Helvetica" w:cs="Arial Unicode MS"/>
          <w:color w:val="000000"/>
          <w:u w:color="000000"/>
        </w:rPr>
      </w:pPr>
      <w:r>
        <w:rPr>
          <w:rFonts w:ascii="Helvetica" w:hAnsi="Helvetica" w:cs="Arial Unicode MS"/>
          <w:color w:val="000000"/>
          <w:u w:color="000000"/>
        </w:rPr>
        <w:t xml:space="preserve">It was clear to the Committee that since Player 1 had been selected and had played in a winning team against </w:t>
      </w:r>
      <w:proofErr w:type="spellStart"/>
      <w:r>
        <w:rPr>
          <w:rFonts w:ascii="Helvetica" w:hAnsi="Helvetica" w:cs="Arial Unicode MS"/>
          <w:color w:val="000000"/>
          <w:u w:color="000000"/>
        </w:rPr>
        <w:t>Dungannon</w:t>
      </w:r>
      <w:proofErr w:type="spellEnd"/>
      <w:r>
        <w:rPr>
          <w:rFonts w:ascii="Helvetica" w:hAnsi="Helvetica" w:cs="Arial Unicode MS"/>
          <w:color w:val="000000"/>
          <w:u w:color="000000"/>
        </w:rPr>
        <w:t xml:space="preserve"> in breach of the eligibility requirements se</w:t>
      </w:r>
      <w:r>
        <w:rPr>
          <w:rFonts w:ascii="Helvetica" w:hAnsi="Helvetica" w:cs="Arial Unicode MS"/>
          <w:color w:val="000000"/>
          <w:u w:color="000000"/>
        </w:rPr>
        <w:t xml:space="preserve">t by Rule 4B, the Respondent was empowered by Rule 1.9 of the Disciplinary Rules to apply a sanction. </w:t>
      </w:r>
    </w:p>
    <w:p w14:paraId="3C615543" w14:textId="77777777" w:rsidR="00E66942" w:rsidRDefault="00E66942">
      <w:pPr>
        <w:spacing w:line="360" w:lineRule="auto"/>
        <w:rPr>
          <w:rFonts w:ascii="Helvetica" w:eastAsia="Helvetica" w:hAnsi="Helvetica" w:cs="Helvetica"/>
          <w:color w:val="000000"/>
          <w:u w:color="000000"/>
        </w:rPr>
      </w:pPr>
    </w:p>
    <w:p w14:paraId="7D10B0F2" w14:textId="77777777" w:rsidR="00E66942" w:rsidRDefault="00117EE7">
      <w:pPr>
        <w:numPr>
          <w:ilvl w:val="0"/>
          <w:numId w:val="8"/>
        </w:numPr>
        <w:spacing w:line="360" w:lineRule="auto"/>
        <w:rPr>
          <w:rFonts w:ascii="Helvetica" w:hAnsi="Helvetica" w:cs="Arial Unicode MS"/>
          <w:color w:val="000000"/>
          <w:u w:color="000000"/>
        </w:rPr>
      </w:pPr>
      <w:r>
        <w:rPr>
          <w:rFonts w:ascii="Helvetica" w:hAnsi="Helvetica" w:cs="Arial Unicode MS"/>
          <w:color w:val="000000"/>
          <w:u w:color="000000"/>
        </w:rPr>
        <w:t>The Committee carefully considered the Appellant</w:t>
      </w:r>
      <w:r>
        <w:rPr>
          <w:rFonts w:ascii="Helvetica" w:hAnsi="Helvetica" w:cs="Arial Unicode MS"/>
          <w:color w:val="000000"/>
          <w:u w:color="000000"/>
        </w:rPr>
        <w:t>’</w:t>
      </w:r>
      <w:r>
        <w:rPr>
          <w:rFonts w:ascii="Helvetica" w:hAnsi="Helvetica" w:cs="Arial Unicode MS"/>
          <w:color w:val="000000"/>
          <w:u w:color="000000"/>
        </w:rPr>
        <w:t>s submission that expulsion from the competition was an excessive and disproportionate step. However, t</w:t>
      </w:r>
      <w:r>
        <w:rPr>
          <w:rFonts w:ascii="Helvetica" w:hAnsi="Helvetica" w:cs="Arial Unicode MS"/>
          <w:color w:val="000000"/>
          <w:u w:color="000000"/>
        </w:rPr>
        <w:t>he Committee was satisfied that if a club selects and fields a player who is not eligible to participate in the game, even if in doing so it is not intentionally breaching the rules, the effect is the same. All such breaches must regarded as serious matter</w:t>
      </w:r>
      <w:r>
        <w:rPr>
          <w:rFonts w:ascii="Helvetica" w:hAnsi="Helvetica" w:cs="Arial Unicode MS"/>
          <w:color w:val="000000"/>
          <w:u w:color="000000"/>
        </w:rPr>
        <w:t>s and in the circumstances the Committee considered that the sanction applied by the Respondent was a reasonable one, indeed the conventional one in such cases, even if other disciplinary steps are available.</w:t>
      </w:r>
    </w:p>
    <w:p w14:paraId="04612A4E" w14:textId="77777777" w:rsidR="00E66942" w:rsidRDefault="00E66942">
      <w:pPr>
        <w:spacing w:line="360" w:lineRule="auto"/>
        <w:rPr>
          <w:rFonts w:ascii="Helvetica" w:eastAsia="Helvetica" w:hAnsi="Helvetica" w:cs="Helvetica"/>
          <w:color w:val="000000"/>
          <w:u w:color="000000"/>
        </w:rPr>
      </w:pPr>
    </w:p>
    <w:p w14:paraId="1EA0A584" w14:textId="77777777" w:rsidR="00E66942" w:rsidRDefault="00117EE7">
      <w:pPr>
        <w:numPr>
          <w:ilvl w:val="0"/>
          <w:numId w:val="8"/>
        </w:numPr>
        <w:spacing w:line="360" w:lineRule="auto"/>
        <w:rPr>
          <w:rFonts w:ascii="Helvetica" w:hAnsi="Helvetica" w:cs="Arial Unicode MS"/>
          <w:color w:val="000000"/>
          <w:u w:color="000000"/>
        </w:rPr>
      </w:pPr>
      <w:r>
        <w:rPr>
          <w:rFonts w:ascii="Helvetica" w:hAnsi="Helvetica" w:cs="Arial Unicode MS"/>
          <w:color w:val="000000"/>
          <w:u w:color="000000"/>
        </w:rPr>
        <w:t>Finally, the Committee would recommend that th</w:t>
      </w:r>
      <w:r>
        <w:rPr>
          <w:rFonts w:ascii="Helvetica" w:hAnsi="Helvetica" w:cs="Arial Unicode MS"/>
          <w:color w:val="000000"/>
          <w:u w:color="000000"/>
        </w:rPr>
        <w:t>e Respondent should give consideration to how Rule 8.3 has been drafted. As appears from this decision, the Rules do not and should not prevent post-match investigations by the Association into player eligibility concerns, particularly where the issue givi</w:t>
      </w:r>
      <w:r>
        <w:rPr>
          <w:rFonts w:ascii="Helvetica" w:hAnsi="Helvetica" w:cs="Arial Unicode MS"/>
          <w:color w:val="000000"/>
          <w:u w:color="000000"/>
        </w:rPr>
        <w:t xml:space="preserve">ng arise to the concern is not known before the match. The Committee is of the view that Rule 8.3 as it is currently drafting creates </w:t>
      </w:r>
      <w:proofErr w:type="gramStart"/>
      <w:r>
        <w:rPr>
          <w:rFonts w:ascii="Helvetica" w:hAnsi="Helvetica" w:cs="Arial Unicode MS"/>
          <w:color w:val="000000"/>
          <w:u w:color="000000"/>
        </w:rPr>
        <w:t>a confusion</w:t>
      </w:r>
      <w:proofErr w:type="gramEnd"/>
      <w:r>
        <w:rPr>
          <w:rFonts w:ascii="Helvetica" w:hAnsi="Helvetica" w:cs="Arial Unicode MS"/>
          <w:color w:val="000000"/>
          <w:u w:color="000000"/>
        </w:rPr>
        <w:t xml:space="preserve"> because it suggests an alternative meaning. The Committee is of the view that the position should be fully cla</w:t>
      </w:r>
      <w:r>
        <w:rPr>
          <w:rFonts w:ascii="Helvetica" w:hAnsi="Helvetica" w:cs="Arial Unicode MS"/>
          <w:color w:val="000000"/>
          <w:u w:color="000000"/>
        </w:rPr>
        <w:t xml:space="preserve">rified by appropriate amendment to the Rules so that inconsistent interpretations can be avoided.  </w:t>
      </w:r>
    </w:p>
    <w:p w14:paraId="13FA6EC1" w14:textId="77777777" w:rsidR="00E66942" w:rsidRDefault="00E66942">
      <w:pPr>
        <w:spacing w:line="360" w:lineRule="auto"/>
        <w:rPr>
          <w:rFonts w:ascii="Helvetica" w:eastAsia="Helvetica" w:hAnsi="Helvetica" w:cs="Helvetica"/>
          <w:color w:val="000000"/>
          <w:u w:color="000000"/>
        </w:rPr>
      </w:pPr>
    </w:p>
    <w:p w14:paraId="0977A5A1" w14:textId="77777777" w:rsidR="00E66942" w:rsidRDefault="00E66942">
      <w:pPr>
        <w:pStyle w:val="Default"/>
        <w:spacing w:after="240" w:line="360" w:lineRule="auto"/>
        <w:ind w:left="873"/>
        <w:rPr>
          <w:rFonts w:ascii="Helvetica" w:eastAsia="Helvetica" w:hAnsi="Helvetica" w:cs="Helvetica"/>
          <w:sz w:val="24"/>
          <w:szCs w:val="24"/>
          <w:u w:color="000000"/>
          <w:lang w:val="it-IT"/>
        </w:rPr>
      </w:pPr>
    </w:p>
    <w:p w14:paraId="4E19B7DA" w14:textId="77777777" w:rsidR="00E66942" w:rsidRDefault="00E66942">
      <w:pPr>
        <w:spacing w:line="360" w:lineRule="auto"/>
        <w:rPr>
          <w:rFonts w:ascii="Helvetica" w:eastAsia="Helvetica" w:hAnsi="Helvetica" w:cs="Helvetica"/>
          <w:color w:val="000000"/>
          <w:u w:color="000000"/>
        </w:rPr>
      </w:pPr>
    </w:p>
    <w:p w14:paraId="4BAF0009" w14:textId="77777777" w:rsidR="00E66942" w:rsidRDefault="00117EE7">
      <w:pPr>
        <w:spacing w:line="360" w:lineRule="auto"/>
        <w:rPr>
          <w:rFonts w:ascii="Helvetica Neue" w:eastAsia="Helvetica Neue" w:hAnsi="Helvetica Neue" w:cs="Helvetica Neue"/>
          <w:b/>
          <w:bCs/>
          <w:color w:val="000000"/>
          <w:u w:color="000000"/>
        </w:rPr>
      </w:pPr>
      <w:r>
        <w:rPr>
          <w:rFonts w:ascii="Arial" w:hAnsi="Arial" w:cs="Arial Unicode MS"/>
          <w:b/>
          <w:bCs/>
          <w:color w:val="000000"/>
          <w:u w:color="000000"/>
        </w:rPr>
        <w:t>Dated: 6 April 2023</w:t>
      </w:r>
    </w:p>
    <w:p w14:paraId="13A12AF2" w14:textId="77777777" w:rsidR="00E66942" w:rsidRDefault="00E66942">
      <w:pPr>
        <w:spacing w:line="360" w:lineRule="auto"/>
        <w:rPr>
          <w:rFonts w:ascii="Helvetica Neue" w:eastAsia="Helvetica Neue" w:hAnsi="Helvetica Neue" w:cs="Helvetica Neue"/>
          <w:color w:val="000000"/>
          <w:u w:color="000000"/>
        </w:rPr>
      </w:pPr>
    </w:p>
    <w:p w14:paraId="28F938F1" w14:textId="77777777" w:rsidR="00E66942" w:rsidRDefault="00117EE7">
      <w:pPr>
        <w:spacing w:line="360" w:lineRule="auto"/>
        <w:rPr>
          <w:rFonts w:ascii="Helvetica Neue" w:eastAsia="Helvetica Neue" w:hAnsi="Helvetica Neue" w:cs="Helvetica Neue"/>
          <w:color w:val="000000"/>
          <w:u w:color="000000"/>
        </w:rPr>
      </w:pPr>
      <w:r>
        <w:rPr>
          <w:rFonts w:ascii="Helvetica Neue" w:eastAsia="Helvetica Neue" w:hAnsi="Helvetica Neue" w:cs="Helvetica Neue"/>
          <w:noProof/>
          <w:color w:val="000000"/>
          <w:u w:color="000000"/>
        </w:rPr>
        <w:drawing>
          <wp:inline distT="0" distB="0" distL="0" distR="0" wp14:anchorId="74145F08" wp14:editId="4C8EB25D">
            <wp:extent cx="2933838" cy="1632744"/>
            <wp:effectExtent l="0" t="0" r="0" b="0"/>
            <wp:docPr id="1073741825" name="officeArt object" descr="page2image38629568.png"/>
            <wp:cNvGraphicFramePr/>
            <a:graphic xmlns:a="http://schemas.openxmlformats.org/drawingml/2006/main">
              <a:graphicData uri="http://schemas.openxmlformats.org/drawingml/2006/picture">
                <pic:pic xmlns:pic="http://schemas.openxmlformats.org/drawingml/2006/picture">
                  <pic:nvPicPr>
                    <pic:cNvPr id="1073741825" name="page2image38629568.png" descr="page2image38629568.png"/>
                    <pic:cNvPicPr>
                      <a:picLocks noChangeAspect="1"/>
                    </pic:cNvPicPr>
                  </pic:nvPicPr>
                  <pic:blipFill>
                    <a:blip r:embed="rId10"/>
                    <a:stretch>
                      <a:fillRect/>
                    </a:stretch>
                  </pic:blipFill>
                  <pic:spPr>
                    <a:xfrm>
                      <a:off x="0" y="0"/>
                      <a:ext cx="2933838" cy="1632744"/>
                    </a:xfrm>
                    <a:prstGeom prst="rect">
                      <a:avLst/>
                    </a:prstGeom>
                    <a:ln w="9525" cap="flat">
                      <a:solidFill>
                        <a:srgbClr val="7E786C"/>
                      </a:solidFill>
                      <a:prstDash val="solid"/>
                      <a:miter lim="400000"/>
                    </a:ln>
                    <a:effectLst>
                      <a:outerShdw blurRad="25400" dist="12700" dir="4080000" rotWithShape="0">
                        <a:srgbClr val="000000">
                          <a:alpha val="50000"/>
                        </a:srgbClr>
                      </a:outerShdw>
                    </a:effectLst>
                  </pic:spPr>
                </pic:pic>
              </a:graphicData>
            </a:graphic>
          </wp:inline>
        </w:drawing>
      </w:r>
    </w:p>
    <w:p w14:paraId="7C0A43C6" w14:textId="77777777" w:rsidR="00E66942" w:rsidRDefault="00E66942">
      <w:pPr>
        <w:spacing w:line="360" w:lineRule="auto"/>
        <w:rPr>
          <w:rFonts w:ascii="Helvetica Neue" w:eastAsia="Helvetica Neue" w:hAnsi="Helvetica Neue" w:cs="Helvetica Neue"/>
          <w:color w:val="000000"/>
          <w:u w:color="000000"/>
        </w:rPr>
      </w:pPr>
    </w:p>
    <w:p w14:paraId="30D6F50C" w14:textId="77777777" w:rsidR="00E66942" w:rsidRDefault="00117EE7">
      <w:pPr>
        <w:spacing w:line="360" w:lineRule="auto"/>
        <w:rPr>
          <w:rFonts w:ascii="Helvetica Neue" w:eastAsia="Helvetica Neue" w:hAnsi="Helvetica Neue" w:cs="Helvetica Neue"/>
          <w:b/>
          <w:bCs/>
          <w:color w:val="000000"/>
          <w:u w:color="000000"/>
        </w:rPr>
      </w:pPr>
      <w:r>
        <w:rPr>
          <w:rFonts w:ascii="Helvetica Neue" w:hAnsi="Helvetica Neue" w:cs="Arial Unicode MS"/>
          <w:b/>
          <w:bCs/>
          <w:color w:val="000000"/>
          <w:u w:color="000000"/>
        </w:rPr>
        <w:t>Martin Wolfe KC</w:t>
      </w:r>
    </w:p>
    <w:p w14:paraId="41839969" w14:textId="77777777" w:rsidR="00E66942" w:rsidRDefault="00E66942">
      <w:pPr>
        <w:spacing w:line="360" w:lineRule="auto"/>
        <w:rPr>
          <w:rFonts w:ascii="Helvetica Neue" w:eastAsia="Helvetica Neue" w:hAnsi="Helvetica Neue" w:cs="Helvetica Neue"/>
          <w:color w:val="000000"/>
          <w:u w:color="000000"/>
        </w:rPr>
      </w:pPr>
    </w:p>
    <w:p w14:paraId="70A138FE" w14:textId="77777777" w:rsidR="00E66942" w:rsidRDefault="00117EE7">
      <w:pPr>
        <w:spacing w:line="360" w:lineRule="auto"/>
      </w:pPr>
      <w:r>
        <w:rPr>
          <w:rFonts w:ascii="Helvetica Neue" w:hAnsi="Helvetica Neue" w:cs="Arial Unicode MS"/>
          <w:b/>
          <w:bCs/>
          <w:color w:val="000000"/>
          <w:u w:color="000000"/>
        </w:rPr>
        <w:t>On Behalf of the Appeals Committee</w:t>
      </w:r>
    </w:p>
    <w:sectPr w:rsidR="00E66942">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4C2A" w14:textId="77777777" w:rsidR="00000000" w:rsidRDefault="00117EE7">
      <w:r>
        <w:separator/>
      </w:r>
    </w:p>
  </w:endnote>
  <w:endnote w:type="continuationSeparator" w:id="0">
    <w:p w14:paraId="3A19B711" w14:textId="77777777" w:rsidR="00000000" w:rsidRDefault="0011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43E2" w14:textId="77777777" w:rsidR="00E66942" w:rsidRDefault="00117EE7">
    <w:pPr>
      <w:pStyle w:val="HeaderFooter"/>
      <w:tabs>
        <w:tab w:val="clear" w:pos="9020"/>
        <w:tab w:val="center" w:pos="4819"/>
        <w:tab w:val="right" w:pos="9638"/>
      </w:tabs>
    </w:pPr>
    <w:r>
      <w:tab/>
    </w:r>
    <w:r>
      <w:tab/>
    </w:r>
    <w:r>
      <w:rPr>
        <w:lang w:val="en-US"/>
      </w:rPr>
      <w:t xml:space="preserve">Page </w:t>
    </w:r>
    <w:r>
      <w:fldChar w:fldCharType="begin"/>
    </w:r>
    <w:r>
      <w:instrText xml:space="preserve"> PAGE </w:instrText>
    </w:r>
    <w:r>
      <w:fldChar w:fldCharType="separate"/>
    </w:r>
    <w:r>
      <w:t>8</w:t>
    </w:r>
    <w:r>
      <w:fldChar w:fldCharType="end"/>
    </w:r>
    <w:r>
      <w:rPr>
        <w:lang w:val="en-US"/>
      </w:rPr>
      <w:t xml:space="preserve"> of </w:t>
    </w:r>
    <w:r>
      <w:fldChar w:fldCharType="begin"/>
    </w:r>
    <w:r>
      <w:instrText xml:space="preserve"> NUMPAGES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6632" w14:textId="77777777" w:rsidR="00000000" w:rsidRDefault="00117EE7">
      <w:r>
        <w:separator/>
      </w:r>
    </w:p>
  </w:footnote>
  <w:footnote w:type="continuationSeparator" w:id="0">
    <w:p w14:paraId="357E7F50" w14:textId="77777777" w:rsidR="00000000" w:rsidRDefault="0011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FA7D" w14:textId="77777777" w:rsidR="00E66942" w:rsidRDefault="00E669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5116"/>
    <w:multiLevelType w:val="hybridMultilevel"/>
    <w:tmpl w:val="145C7432"/>
    <w:numStyleLink w:val="Lettered"/>
  </w:abstractNum>
  <w:abstractNum w:abstractNumId="1" w15:restartNumberingAfterBreak="0">
    <w:nsid w:val="21F15725"/>
    <w:multiLevelType w:val="hybridMultilevel"/>
    <w:tmpl w:val="41F6F60E"/>
    <w:numStyleLink w:val="Numbered"/>
  </w:abstractNum>
  <w:abstractNum w:abstractNumId="2" w15:restartNumberingAfterBreak="0">
    <w:nsid w:val="44D9746F"/>
    <w:multiLevelType w:val="hybridMultilevel"/>
    <w:tmpl w:val="41F6F60E"/>
    <w:styleLink w:val="Numbered"/>
    <w:lvl w:ilvl="0" w:tplc="2CFE7F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6C549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3560F3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482C01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F0E8B3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B5270C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10C677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B2E1A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206885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ED4BD2"/>
    <w:multiLevelType w:val="hybridMultilevel"/>
    <w:tmpl w:val="145C7432"/>
    <w:styleLink w:val="Lettered"/>
    <w:lvl w:ilvl="0" w:tplc="280A6D1A">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0B26354">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904EC14">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7BE7E7A">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6F0A2E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486D160">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1A42CF6">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4B035C8">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32C5750">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47856163">
    <w:abstractNumId w:val="2"/>
  </w:num>
  <w:num w:numId="2" w16cid:durableId="1167331823">
    <w:abstractNumId w:val="1"/>
  </w:num>
  <w:num w:numId="3" w16cid:durableId="1494180475">
    <w:abstractNumId w:val="1"/>
    <w:lvlOverride w:ilvl="0">
      <w:lvl w:ilvl="0" w:tplc="E11A458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D2036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EDC117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EC9DE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E245F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F8F44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20956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326BD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2A79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140853164">
    <w:abstractNumId w:val="3"/>
  </w:num>
  <w:num w:numId="5" w16cid:durableId="205021924">
    <w:abstractNumId w:val="0"/>
  </w:num>
  <w:num w:numId="6" w16cid:durableId="513499451">
    <w:abstractNumId w:val="1"/>
    <w:lvlOverride w:ilvl="0">
      <w:startOverride w:val="21"/>
      <w:lvl w:ilvl="0" w:tplc="E11A4582">
        <w:start w:val="2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D2036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EDC117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1EC9DE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E245F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FF8F44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20956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E326BD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2A79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762027298">
    <w:abstractNumId w:val="0"/>
    <w:lvlOverride w:ilvl="0">
      <w:startOverride w:val="1"/>
    </w:lvlOverride>
  </w:num>
  <w:num w:numId="8" w16cid:durableId="2140368388">
    <w:abstractNumId w:val="0"/>
    <w:lvlOverride w:ilvl="0">
      <w:startOverride w:val="22"/>
      <w:lvl w:ilvl="0" w:tplc="094E3996">
        <w:start w:val="22"/>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6097FA">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7542210">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90D8D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0F4A77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56C474">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E80FFE">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070D74E">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B961FF6">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9"/>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42"/>
    <w:rsid w:val="00117EE7"/>
    <w:rsid w:val="00E66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3D6B"/>
  <w15:docId w15:val="{0A1BDD60-3D69-42F8-91EF-96866C99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Numbered">
    <w:name w:val="Numbered"/>
    <w:pPr>
      <w:numPr>
        <w:numId w:val="1"/>
      </w:numPr>
    </w:pPr>
  </w:style>
  <w:style w:type="numbering" w:customStyle="1" w:styleId="Lettered">
    <w:name w:val="Lettered"/>
    <w:pPr>
      <w:numPr>
        <w:numId w:val="4"/>
      </w:numPr>
    </w:pPr>
  </w:style>
  <w:style w:type="paragraph" w:customStyle="1" w:styleId="Default">
    <w:name w:val="Default"/>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9AA08A887AF48ADF695B72A65C730" ma:contentTypeVersion="14" ma:contentTypeDescription="Create a new document." ma:contentTypeScope="" ma:versionID="4a39beca85aa296e8ca642424025bc4a">
  <xsd:schema xmlns:xsd="http://www.w3.org/2001/XMLSchema" xmlns:xs="http://www.w3.org/2001/XMLSchema" xmlns:p="http://schemas.microsoft.com/office/2006/metadata/properties" xmlns:ns3="b066363b-e6f8-4b0b-9016-c795ff0af29c" xmlns:ns4="476bc3b1-85af-4a58-9f93-abfd32ebe327" targetNamespace="http://schemas.microsoft.com/office/2006/metadata/properties" ma:root="true" ma:fieldsID="d34525f7e4ab8c6336536325e84ec8ec" ns3:_="" ns4:_="">
    <xsd:import namespace="b066363b-e6f8-4b0b-9016-c795ff0af29c"/>
    <xsd:import namespace="476bc3b1-85af-4a58-9f93-abfd32ebe3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6363b-e6f8-4b0b-9016-c795ff0af2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6bc3b1-85af-4a58-9f93-abfd32ebe32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74E66-19E7-42F8-9C12-56CB35160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6363b-e6f8-4b0b-9016-c795ff0af29c"/>
    <ds:schemaRef ds:uri="476bc3b1-85af-4a58-9f93-abfd32ebe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AB5BA-CBCF-4493-83D5-36187D810C33}">
  <ds:schemaRefs>
    <ds:schemaRef ds:uri="http://schemas.microsoft.com/sharepoint/v3/contenttype/forms"/>
  </ds:schemaRefs>
</ds:datastoreItem>
</file>

<file path=customXml/itemProps3.xml><?xml version="1.0" encoding="utf-8"?>
<ds:datastoreItem xmlns:ds="http://schemas.openxmlformats.org/officeDocument/2006/customXml" ds:itemID="{ADEE2B06-32E2-4347-A13C-6C2F4687D536}">
  <ds:schemaRefs>
    <ds:schemaRef ds:uri="476bc3b1-85af-4a58-9f93-abfd32ebe327"/>
    <ds:schemaRef ds:uri="b066363b-e6f8-4b0b-9016-c795ff0af29c"/>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2335</Words>
  <Characters>13310</Characters>
  <Application>Microsoft Office Word</Application>
  <DocSecurity>4</DocSecurity>
  <Lines>110</Lines>
  <Paragraphs>31</Paragraphs>
  <ScaleCrop>false</ScaleCrop>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william.campbell@irishfa.com</cp:lastModifiedBy>
  <cp:revision>2</cp:revision>
  <dcterms:created xsi:type="dcterms:W3CDTF">2023-04-12T14:47:00Z</dcterms:created>
  <dcterms:modified xsi:type="dcterms:W3CDTF">2023-04-12T14:47:00Z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0x0101005709AA08A887AF48ADF695B72A65C730</vt:lpwstr>
  </property>
</Properties>
</file>